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32"/>
          <w:szCs w:val="32"/>
          <w:rtl w:val="0"/>
        </w:rPr>
        <w:t>AI 활용 확대를 위한 외부 데이터 연계 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32"/>
          <w:szCs w:val="32"/>
          <w:rtl w:val="0"/>
        </w:rPr>
        <w:t>파일럿 프로젝트 추진 검토 보고서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19"/>
        <w:gridCol w:w="1800"/>
        <w:gridCol w:w="3019"/>
        <w:tblGridChange w:id="0">
          <w:tblGrid>
            <w:gridCol w:w="1800"/>
            <w:gridCol w:w="3019"/>
            <w:gridCol w:w="1800"/>
            <w:gridCol w:w="3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문서번호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SP-AI-2026-014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보안등급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대외비(내부검토용)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작성부서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전략기획팀 / DX추진파트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2026. 8. 20.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김도현 팀장 (내선 ********)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배포범위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임원, 팀장급 이상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>1.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본 보고서는 당사(********) 각 부서에서 진행 중인 AI 활용 과제 현황을 점검하고, 외부 AI 서비스(클라우드 LLM API, SaaS 챗봇 등) 연계 시 발생 가능한 정보보안 이슈를 사전 검토하기 위해 작성되었다.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특히 최근 물류본부에서 추진 중인 '배차 스케줄링 AI 파일럿'과 관련하여 외부 벤더에게 사내 데이터 샘플을 제공하는 과정에서 검토가 필요한 사항이 다수 확인되어, 전사 공통 가이드라인 수립 이전까지 아래 사항을 참고자료로 배포한다.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>2. 부서별 AI 활용 현황 및 데이터 이슈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1200"/>
        <w:gridCol w:w="4438"/>
        <w:tblGridChange w:id="0">
          <w:tblGrid>
            <w:gridCol w:w="1400"/>
            <w:gridCol w:w="2600"/>
            <w:gridCol w:w="1200"/>
            <w:gridCol w:w="443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활용/검토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민감도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구매팀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유연탄 국제가격, 관세청 수입통계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공개 API 기반, 외부 AI 연계 무방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물류본부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정선공장 반입 스케줄, 차량 배차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실시간 반입출 시간 데이터는 대외 미공개, 외부 벤더 제공 시 별도 승인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생산팀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정선공장 순환자원 대체율(41%, 환경부 공시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환경부 대기배출 공시자료에 이미 포함된 수치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생산팀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2028년 순환자원 대체율 내부 목표치(55%)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이사회 미보고 상태의 내부 목표로, 공시 수치와 혼동 주의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영업팀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H건설 장기공급계약 조건(연 12만톤, 톤당 82,000원)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개별 고객사 단가는 영업비밀, 외부 유출 시 타 고객사 협상력 저하 우려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인사팀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임직원 연락처, 인사평가 코멘트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개인정보보호법 적용 대상, 원칙적으로 어떤 외부 AI 서비스에도 입력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재무팀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분기 제조원가(톤당 ********원, 전년比 4.2% 상승)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IR 자료 배포 전까지는 비공개, 배포 후에는 공개정보로 전환됨(시점 확인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>3. 물류 배차 스케줄링 AI 파일럿 추진현황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물류본부는 2026년 3분기부터 외부 AI 솔루션 업체인 '***'과 협업하여 정선·목포 공장 간 배차 최적화 파일럿을 진행 중이다.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계약 규모는 총 3억 2천만원(1차 파일럿 6개월 기준)이며, 중도 해지 시 잔여 계약금액의 30%를 위약금으로 지급하는 조건이 포함되어 있다. 벤더 측 담당자는 아래와 같다.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519"/>
        <w:gridCol w:w="3519"/>
        <w:tblGridChange w:id="0">
          <w:tblGrid>
            <w:gridCol w:w="1800"/>
            <w:gridCol w:w="1800"/>
            <w:gridCol w:w="2519"/>
            <w:gridCol w:w="3519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소속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**담당자**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*****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 *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정하윤 이사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010-2938-4471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hyjeong@********.co.kr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**한백시멘트** 물류본부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박현수 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010-****-****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hspark@********.co.kr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파일럿 진행 과정에서 물류본부는 벤더 측에 최근 3개월치 배차 실적 원본 데이터(차량번호, 기사 성명, 운행경로, 반입 시각)를 CSV로 전달한 바 있다. 해당 데이터에는 개인 식별이 가능한 기사 성명·연락처가 마스킹 없이 포함되어 있었던 것으로 확인되어, 재발 방지를 위한 데이터 제공 절차 표준화가 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>4. 조직 관련 참고사항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금번 파일럿과 관련하여 배차 오류가 반복 발생한 물류1팀 박현수 대리 건은 별도로 인사위원회 회부가 검토되고 있으며, 이는 AI 시스템 도입과 무관하게 진행 중인 사안이므로 파일럿 관련 자료와 분리하여 관리할 필요가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아울러 생산본부는 자동화 확대에 따라 정선공장 인력을 2027년까지 단계적으로 약 ***** 감축하는 방안을 검토 중이나, 이는 노사협의 이전 단계로 사내에서도 극히 제한된 인원만 인지하고 있는 사안이다.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>5. 보안·법무 검토 필요사항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>① 공장 위치·생산능력: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1"/>
          <w:szCs w:val="21"/>
          <w:rtl w:val="0"/>
        </w:rPr>
        <w:t>정선·목포 공장의 소재지와 연간 생산능력(각 320만톤/280만톤)은 이미 당사 홈페이지 및 공시자료에 게재되어 있어 그 자체는 공개정보에 해당하나, 이를 실시간 반입출 스케줄과 결합할 경우 시설 보안상 민감정보로 취급해야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>② 탄소배출권 관련 소송: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1"/>
          <w:szCs w:val="21"/>
          <w:rtl w:val="0"/>
        </w:rPr>
        <w:t>2025년 배출권 할당량 이의신청 건이 행정소송으로 이어질 가능성이 있다는 보고가 있었으나, 실제 소송 진행 여부는 법무팀 확인이 필요하며 확정되지 않은 사안을 외부에 언급하는 것은 삼가야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>③ 순환자원 대체율: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1"/>
          <w:szCs w:val="21"/>
          <w:rtl w:val="0"/>
        </w:rPr>
        <w:t>위 2절에서 언급한 대로 현재 수치(41%)는 공시자료 기준으로 공개 가능하나, 내부 목표치(55%, 2028년)는 별도 문서로 관리하여 동일 표에 병기하지 않는 것을 권장한다.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>6. 붙임: 시스템 접속 정보 (예시)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555555"/>
          <w:sz w:val="21"/>
          <w:szCs w:val="21"/>
          <w:rtl w:val="0"/>
        </w:rPr>
        <w:t>파일럿 관련 시스템 접속 정보는 아래와 같으며, 계약 종료 후 즉시 폐기 및 접근권한 회수가 필요하다.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사내 배차관리시스템 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vpn.*********.internal (포트 1194)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파일럿 연동 DB 접속정보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postgresql://hb_pilot_user:Hb2\*\*\*\*\*\*\*\*\*\*\*\*\*\*\*\*\*\*\*\*\*\*\*\*\*\*\*\*\*\*\*\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 *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rt9_live_8f2a1c9d4b7e4f0a9c2d5e6f7a8b9c0d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color w:val="808080"/>
          <w:sz w:val="18"/>
          <w:szCs w:val="18"/>
          <w:rtl w:val="0"/>
        </w:rPr>
        <w:t>※ 본 문서에 등장하는 회사명(한백시멘트), 인명, 수치, 계약조건, 시스템 접속정보는 교육 실습을 위해 작성된 가상의 내용이며, 실제 기업·인물과 무관합니다.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sz w:val="16"/>
        <w:szCs w:val="16"/>
        <w:rtl w:val="0"/>
      </w:rPr>
      <w:t>-</w:t>
    </w:r>
    <w:r w:rsidDel="00000000" w:rsidR="00000000" w:rsidRPr="00000000"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sz w:val="16"/>
        <w:szCs w:val="16"/>
        <w:rtl w:val="0"/>
      </w:rPr>
      <w:t>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bottom w:color="c00000" w:space="0" w:sz="6" w:val="single"/>
      </w:pBdr>
      <w:spacing w:after="100" w:lineRule="auto"/>
      <w:jc w:val="right"/>
      <w:rPr/>
    </w:pPr>
    <w:r w:rsidDel="00000000" w:rsidR="00000000" w:rsidRPr="00000000">
      <w:rPr>
        <w:rFonts w:ascii="Malgun Gothic" w:cs="Malgun Gothic" w:eastAsia="Malgun Gothic" w:hAnsi="Malgun Gothic"/>
        <w:b w:val="1"/>
        <w:bCs w:val="1"/>
        <w:color w:val="c00000"/>
        <w:sz w:val="16"/>
        <w:szCs w:val="16"/>
        <w:rtl w:val="0"/>
      </w:rPr>
      <w:t>[대외비 · 내부검토용]  ********* 전략기획팀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