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설비유지보수계약서 (C설비)</w:t>
      </w:r>
    </w:p>
    <w:p>
      <w:r>
        <w:t>제1조 (목적) 본 계약은 생산설비 정기점검 및 유지보수에 관한 사항을 정한다.</w:t>
      </w:r>
    </w:p>
    <w:p>
      <w:r>
        <w:t>제4조 (대금지급) 대금은 분기별로 후지급한다.</w:t>
      </w:r>
    </w:p>
    <w:p>
      <w:r>
        <w:t>제7조 (위약금) 점검 누락 1건당 100만원의 위약금을 부과한다.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