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공사도급계약서 (A건설)</w:t>
      </w:r>
    </w:p>
    <w:p>
      <w:r>
        <w:t>제1조 (목적) 본 계약은 레미콘 공급에 관한 사항을 정한다.</w:t>
      </w:r>
    </w:p>
    <w:p>
      <w:r>
        <w:t>제5조 (대금지급) 대금은 월 마감 후 익월 10일 지급한다.</w:t>
      </w:r>
    </w:p>
    <w:p>
      <w:r>
        <w:t>제8조 (위약금) 납기 지연 시 1일당 계약금액의 0.1%를 위약금으로 부과한다.</w:t>
      </w:r>
    </w:p>
    <w:p>
      <w:r>
        <w:t>제12조 (해지) 3회 이상 납기 위반 시 당사는 계약을 해지할 수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