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8A951"/>
          <w:spacing w:val="200"/>
          <w:sz w:val="28"/>
          <w:szCs w:val="28"/>
        </w:rPr>
        <w:t xml:space="preserve">LAKELAND HEALTH INSURANCE</w:t>
      </w:r>
    </w:p>
    <w:p>
      <w:pPr>
        <w:pBdr>
          <w:bottom w:val="single" w:color="C8A951" w:sz="6" w:space="1"/>
        </w:pBdr>
        <w:spacing w:after="100"/>
        <w:jc w:val="center"/>
      </w:pPr>
    </w:p>
    <w:p>
      <w:pPr>
        <w:spacing w:after="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GA4 Analytics Audit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&amp; Correction Plan</w:t>
      </w:r>
    </w:p>
    <w:p>
      <w:pPr>
        <w:spacing w:after="400"/>
      </w:pP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Verified findings from Google Analytics (GA4)</w:t>
      </w:r>
    </w:p>
    <w:p>
      <w:pPr>
        <w:spacing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Property: a357914498p492431963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Reporting Period: April 5 – May 2,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Prepared: May 3,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sz w:val="22"/>
          <w:szCs w:val="22"/>
        </w:rPr>
        <w:t xml:space="preserve">This audit verifies five priority claims about lakelandhealthinsurance.com performance and provides a structured correction plan. Data was pulled directly from GA4 on May 3, 2026, covering the 28-day period of April 5 – May 2, 2026.</w:t>
      </w:r>
    </w:p>
    <w:p>
      <w:pPr>
        <w:spacing w:after="200"/>
      </w:pPr>
      <w:r>
        <w:rPr>
          <w:sz w:val="22"/>
          <w:szCs w:val="22"/>
        </w:rPr>
        <w:t xml:space="preserve">Key finding: The site generated 58 qualified leads from 555 active users (10.5% lead rate), but suffers from near-zero retention (0.9%), weak SEO click-through, and wasted paid search spend. Three of five claims were fully confirmed, one was confirmed worse than reported, and one was partially false.</w:t>
      </w:r>
    </w:p>
    <w:p>
      <w:pPr>
        <w:pStyle w:val="Heading1"/>
      </w:pPr>
      <w:r>
        <w:t xml:space="preserve">Traffic Overview (28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Eng. 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Paid Social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50.15%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93.9%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Organic Social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23.39%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60.1%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Direct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11.62%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32.9%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Organic Search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7.19%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51.1%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Unassigned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5.05%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57.6%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Referral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1.22%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75.0%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Paid Search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1.07%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42.9%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Cross-network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0.15%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654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478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73.1%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Claim Verification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60"/>
        <w:gridCol w:w="2000"/>
        <w:gridCol w:w="180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Claimed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/get-help/ has 0 conversions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75% bounce, 0 conv.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key events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PARTIALLY FALSE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SEO blog: high impressions, no clicks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7,769 impr., ~0 clicks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4,644 impr., 1 click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Retention rate unsustainable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2.2% retention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0.9% (5 of 555)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WORSE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Paid Search underperforming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sessions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sessions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Direct traffic is miscategorized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76 sessions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76 sessions, 32.9% eng.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CONFIRMED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Correction Plan</w:t>
      </w:r>
    </w:p>
    <w:p>
      <w:pPr>
        <w:spacing w:after="200"/>
      </w:pPr>
      <w:r>
        <w:rPr>
          <w:sz w:val="22"/>
          <w:szCs w:val="22"/>
        </w:rPr>
        <w:t xml:space="preserve">Actions are organized by priority tier. Tier 1 items should begin this week; Tier 2 within 14 days; Tier 3 within 30 days.</w:t>
      </w:r>
    </w:p>
    <w:p>
      <w:pPr>
        <w:pStyle w:val="Heading2"/>
      </w:pPr>
      <w:r>
        <w:t xml:space="preserve">Tier 1: Immediate (This Week)</w:t>
      </w:r>
    </w:p>
    <w:p>
      <w:pPr>
        <w:pStyle w:val="Heading3"/>
      </w:pPr>
      <w:r>
        <w:t xml:space="preserve">1A. Implement UTM Parameters on All Campaigns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Problem: </w:t>
      </w:r>
      <w:r>
        <w:rPr>
          <w:sz w:val="22"/>
          <w:szCs w:val="22"/>
        </w:rPr>
        <w:t xml:space="preserve">76 direct sessions (11.6% of traffic) are likely misattributed campaign traffic. This makes ROI calculation impossible and inflates organic metrics.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Audit every active Facebook ad, email link, and social post for UTM tags. Use format: utm_source=facebook&amp;utm_medium=paid&amp;utm_campaign=[campaign-name]&amp;utm_content=[ad-variant]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Create a UTM naming convention doc and standardize across all channels. Recommend: source/medium/campaign/content structure.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UTM parameters to the website link in your Facebook business page bio, email signatures, and any third-party directory listings.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Verify in GA4 Realtime after launch to confirm traffic is categorizing correctly.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Expected impact: </w:t>
      </w:r>
      <w:r>
        <w:rPr>
          <w:sz w:val="22"/>
          <w:szCs w:val="22"/>
        </w:rPr>
        <w:t xml:space="preserve">Clean attribution data within 48 hours. Enables accurate ROI decisions for every subsequent action.</w:t>
      </w:r>
    </w:p>
    <w:p>
      <w:pPr>
        <w:pStyle w:val="Heading3"/>
      </w:pPr>
      <w:r>
        <w:t xml:space="preserve">1B. Pause Google Paid Search Immediately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Problem: </w:t>
      </w:r>
      <w:r>
        <w:rPr>
          <w:sz w:val="22"/>
          <w:szCs w:val="22"/>
        </w:rPr>
        <w:t xml:space="preserve">7 sessions with 42.9% engagement rate and 3 leads in 28 days. At any reasonable CPC, this is negative ROI.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Pause all active Google Ads campaigns today. Do not delete — preserve history for analysis.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Document current spend, keywords, ad copy, and landing pages before pausing.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Reallocate budget to Facebook Paid Social, which is generating 328 sessions at 93.9% engagement and producing the bulk of leads.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If restarting later: rebuild with hyper-local targeting (Lakeland + Polk County), exact match keywords only, and dedicated landing pages (not /get-help/).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Expected impact: </w:t>
      </w:r>
      <w:r>
        <w:rPr>
          <w:sz w:val="22"/>
          <w:szCs w:val="22"/>
        </w:rPr>
        <w:t xml:space="preserve">Immediate cost savings. Budget redeployed to proven channel.</w:t>
      </w:r>
    </w:p>
    <w:p>
      <w:pPr>
        <w:pStyle w:val="Heading3"/>
      </w:pPr>
      <w:r>
        <w:t xml:space="preserve">1C. Optimize /get-help/ Conversion Page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Problem: </w:t>
      </w:r>
      <w:r>
        <w:rPr>
          <w:sz w:val="22"/>
          <w:szCs w:val="22"/>
        </w:rPr>
        <w:t xml:space="preserve">114 views, 60 active users, 8 key events, 10s average engagement. While the page does convert (not 0 as claimed), 8 events from 60 users is a 13.3% event rate — but the 10s engagement suggests many visitors leave before interacting.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A/B test headline: Replace generic headline with specific value prop. Test “Find Out If You Qualify for $0 Premium Health Insurance” vs current.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Shorten the form: Reduce to name, phone, and one qualifying question. Every additional field reduces completion rate ~10%.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trust signals above the fold: FL license number (W371813), “No cost to you” messaging, and a brief testimonial or social proof element.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Ensure Meta Pixel fires on form submission for conversion optimization.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Add a click-to-call button (863-640-3102) as secondary CTA for mobile users.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Expected impact: </w:t>
      </w:r>
      <w:r>
        <w:rPr>
          <w:sz w:val="22"/>
          <w:szCs w:val="22"/>
        </w:rPr>
        <w:t xml:space="preserve">2–3x improvement in form completion rate. Target: 25%+ event rate from page visitors.</w:t>
      </w:r>
    </w:p>
    <w:p>
      <w:r>
        <w:br w:type="page"/>
      </w:r>
    </w:p>
    <w:p>
      <w:pPr>
        <w:pStyle w:val="Heading2"/>
      </w:pPr>
      <w:r>
        <w:t xml:space="preserve">Tier 2: Short-Term (Within 14 Days)</w:t>
      </w:r>
    </w:p>
    <w:p>
      <w:pPr>
        <w:pStyle w:val="Heading3"/>
      </w:pPr>
      <w:r>
        <w:t xml:space="preserve">2A. Fix SEO Click-Through Rate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Problem: </w:t>
      </w:r>
      <w:r>
        <w:rPr>
          <w:sz w:val="22"/>
          <w:szCs w:val="22"/>
        </w:rPr>
        <w:t xml:space="preserve">4,644 impressions, 1 click (0.02% CTR), average position 41.43. The site is being indexed but ranks too low and has unappealing SERP listings.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Pull the full keyword list from Search Console. Identify keywords ranking positions 15–40 — these are within striking distance of page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Rewrite title tags and meta descriptions for top-impressions pages. Use location + benefit format: “Lakeland Health Insurance | Free ACA Subsidy Estimate”.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structured data (FAQ schema, LocalBusiness schema) to key landing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Refresh the Medicare Advantage blog post with 2026 data, expand to 2,000+ words, and add internal links to /get-help/.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Build 3–5 local backlinks (Lakeland Chamber, Polk County business directories, local health organizations).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Expected impact: </w:t>
      </w:r>
      <w:r>
        <w:rPr>
          <w:sz w:val="22"/>
          <w:szCs w:val="22"/>
        </w:rPr>
        <w:t xml:space="preserve">Move 5–10 keywords to page 1 within 60 days. Target 2–3% CTR on existing impressions = 90–140 monthly organic clicks.</w:t>
      </w:r>
    </w:p>
    <w:p>
      <w:pPr>
        <w:pStyle w:val="Heading3"/>
      </w:pPr>
      <w:r>
        <w:t xml:space="preserve">2B. Build Retention and Retargeting Infrastructure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Problem: </w:t>
      </w:r>
      <w:r>
        <w:rPr>
          <w:sz w:val="22"/>
          <w:szCs w:val="22"/>
        </w:rPr>
        <w:t xml:space="preserve">0.9% retention rate (5 returning users out of 555). This means 99.1% of visitors never return. Without retention, every visitor must be acquired fresh.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Deploy an email capture lead magnet on all blog posts: “Download: 2026 ACA Subsidy Calculator for Florida Families.” Use a simple popup or inline 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Set up a 5-email nurture sequence for captured leads: welcome &gt; subsidy education &gt; enrollment window reminder &gt; case study &gt; direct CTA.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Verify Meta Pixel (ID: 1822900971216472) is firing on all pages and create a retargeting audience of all site visitors (180-day window).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Create a Facebook retargeting campaign specifically for visitors who hit /get-help/ but did not convert.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Add push notification opt-in for OEP/SEP enrollment deadline reminders.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Expected impact: </w:t>
      </w:r>
      <w:r>
        <w:rPr>
          <w:sz w:val="22"/>
          <w:szCs w:val="22"/>
        </w:rPr>
        <w:t xml:space="preserve">Build a 500+ email list within 60 days. Increase returning visitor rate to 8–12%. Retargeting alone should recover 5–10% of lost /get-help/ visitors.</w:t>
      </w:r>
    </w:p>
    <w:p>
      <w:r>
        <w:br w:type="page"/>
      </w:r>
    </w:p>
    <w:p>
      <w:pPr>
        <w:pStyle w:val="Heading2"/>
      </w:pPr>
      <w:r>
        <w:t xml:space="preserve">Tier 3: Strategic (Within 30 Days)</w:t>
      </w:r>
    </w:p>
    <w:p>
      <w:pPr>
        <w:pStyle w:val="Heading3"/>
      </w:pPr>
      <w:r>
        <w:t xml:space="preserve">3A. Clean Up Bot Traffic in Lead Data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Problem: </w:t>
      </w:r>
      <w:r>
        <w:rPr>
          <w:sz w:val="22"/>
          <w:szCs w:val="22"/>
        </w:rPr>
        <w:t xml:space="preserve">Lead location data shows Dublin (4), Prineville (2), and Lulea appearing as top lead cities. These are Facebook/Meta data center locations, not real prospects. They inflate lead counts and distort conversion metrics.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Create GA4 data filters to exclude traffic from known bot cities: Dublin (Ireland), Prineville (OR), Lulea (Sweden), Ashburn (VA).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Adjust the true lead count: Of 58 reported leads, approximately 8–10 are likely bot traffic, leaving ~48–50 genuine leads.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Set up a GA4 custom report that filters leads to Florida-only geography for accurate local performance tracking.</w:t>
      </w:r>
    </w:p>
    <w:p>
      <w:pPr>
        <w:pStyle w:val="Heading3"/>
      </w:pPr>
      <w:r>
        <w:t xml:space="preserve">3B. Optimize Facebook Paid Social Spend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Opportunity: </w:t>
      </w:r>
      <w:r>
        <w:rPr>
          <w:sz w:val="22"/>
          <w:szCs w:val="22"/>
        </w:rPr>
        <w:t xml:space="preserve">Paid Social is the strongest channel: 328 sessions, 93.9% engagement, producing real leads in Orlando, Lakeland, and Chicago. But some leads are still coming from bot locations.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Tighten Facebook ad geo-targeting to Florida only (or specific Florida metros: Lakeland, Orlando, Tampa, Polk County).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Exclude international locations and known data-center regions from ad targeting.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With budget freed from Google Ads, test 2–3 new ad creative variants targeting SEP-eligible life events (job loss, marriage, new baby, relocation to FL).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Shift optimization objective from link clicks to lead form completions using Meta Pixel conversion events.</w:t>
      </w:r>
    </w:p>
    <w:p>
      <w:pPr>
        <w:pStyle w:val="Heading3"/>
      </w:pPr>
      <w:r>
        <w:t xml:space="preserve">3C. Build Content Flywheel for Organic Growth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Opportunity: </w:t>
      </w:r>
      <w:r>
        <w:rPr>
          <w:sz w:val="22"/>
          <w:szCs w:val="22"/>
        </w:rPr>
        <w:t xml:space="preserve">Organic channels (search + social) account for 200 sessions but require zero ad spend. A content strategy can make this the primary growth engine over 90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Publish 2 SEO-optimized blog posts per month targeting local + insurance keywords: “health insurance Lakeland FL,” “ACA subsidy calculator Florida,” “Medicare Advantage Polk County.”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Cross-post blog summaries to Facebook organic with links back to the site. Current organic social drives 153 sessions — this can double with consistent posting.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Repurpose top-performing blog content into short video scripts for Facebook Reels/Lives (see video-production skill for templates).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Interlink all content back to /get-help/ and the ACA Subsidy Estimator to create conversion paths from every page.</w:t>
      </w:r>
    </w:p>
    <w:p>
      <w:r>
        <w:br w:type="page"/>
      </w:r>
    </w:p>
    <w:p>
      <w:pPr>
        <w:pStyle w:val="Heading1"/>
      </w:pPr>
      <w:r>
        <w:t xml:space="preserve">Lead Geography Data</w:t>
      </w:r>
    </w:p>
    <w:p>
      <w:pPr>
        <w:spacing w:after="200"/>
      </w:pPr>
      <w:r>
        <w:rPr>
          <w:sz w:val="22"/>
          <w:szCs w:val="22"/>
        </w:rPr>
        <w:t xml:space="preserve">The following table shows all leads by acquisition channel and city. Rows highlighted in gold indicate suspected bot/crawler traffic from known data-center locations.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Leads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Direct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(not set)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Organic Social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Dublin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 *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Organic Social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Forest City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Paid Search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Lakeland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Paid Social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Orlando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Organic Social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Prineville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 *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Paid Search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(not set)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Paid Social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Chicago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Cross-network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Brandon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Direct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Lakeland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</w:tr>
    </w:tbl>
    <w:p>
      <w:pPr>
        <w:spacing w:after="200" w:before="120"/>
      </w:pPr>
      <w:r>
        <w:rPr>
          <w:i/>
          <w:iCs/>
          <w:color w:val="666666"/>
          <w:sz w:val="18"/>
          <w:szCs w:val="18"/>
        </w:rPr>
        <w:t xml:space="preserve">* Suspected bot traffic — Dublin and Prineville are known Facebook/Meta data center locations.</w:t>
      </w:r>
    </w:p>
    <w:p>
      <w:pPr>
        <w:pStyle w:val="Heading1"/>
      </w:pPr>
      <w:r>
        <w:t xml:space="preserve">Success Metrics &amp; Targets (30-Day Review)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30-Day Target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90-Day 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Returning visitor rate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0.9%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10–12%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SEO CTR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0.02%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3%+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/get-help/ event rate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13.3%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25%+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Organic search sessions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47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Direct (unattributed) 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11.6%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&lt;3%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Email list size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100+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Qualified leads (clean)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~48–50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60+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100+</w:t>
            </w:r>
          </w:p>
        </w:tc>
      </w:tr>
    </w:tbl>
    <w:p>
      <w:pPr>
        <w:spacing w:after="400"/>
      </w:pPr>
    </w:p>
    <w:p>
      <w:pPr>
        <w:pBdr>
          <w:top w:val="single" w:color="C8A951" w:sz="2" w:space="8"/>
        </w:pBdr>
        <w:spacing w:after="80" w:before="200"/>
      </w:pPr>
      <w:r>
        <w:rPr>
          <w:i/>
          <w:iCs/>
          <w:color w:val="999999"/>
          <w:sz w:val="18"/>
          <w:szCs w:val="18"/>
        </w:rPr>
        <w:t xml:space="preserve">This document was generated from live GA4 data verified on May 3, 2026. All metrics should be re-validated at the 30-day checkpoint using the same GA4 property.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951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Lakeland Health Insurance</w:t>
    </w:r>
    <w:r>
      <w:rPr>
        <w:rFonts w:ascii="Arial" w:cs="Arial" w:eastAsia="Arial" w:hAnsi="Arial"/>
        <w:color w:val="999999"/>
        <w:sz w:val="16"/>
        <w:szCs w:val="16"/>
      </w:rPr>
      <w:t xml:space="preserve">	GA4 Audit &amp; Correction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2026-05-03T14:31:11.679Z</dcterms:created>
  <dcterms:modified xsi:type="dcterms:W3CDTF">2026-05-03T14:31:11.679Z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