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CA"/>
        </w:rPr>
        <w:t>FECON</w:t>
      </w:r>
      <w:r>
        <w:rPr>
          <w:rFonts w:hint="eastAsia"/>
          <w:lang w:val="en-US" w:eastAsia="zh-CN"/>
        </w:rPr>
        <w:t>设计文档</w:t>
      </w:r>
    </w:p>
    <w:tbl>
      <w:tblPr>
        <w:tblStyle w:val="7"/>
        <w:tblpPr w:leftFromText="180" w:rightFromText="180" w:vertAnchor="text" w:horzAnchor="margin" w:tblpYSpec="outside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7"/>
        <w:gridCol w:w="170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文档版本号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62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杨翔瑞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20</w:t>
            </w:r>
            <w:r>
              <w:t>.0</w:t>
            </w:r>
            <w:r>
              <w:rPr>
                <w:rFonts w:hint="eastAsia"/>
                <w:lang w:val="en-US" w:eastAsia="zh-CN"/>
              </w:rPr>
              <w:t>6</w:t>
            </w:r>
            <w:r>
              <w:t>.1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623" w:type="dxa"/>
          </w:tcPr>
          <w:p>
            <w:pPr>
              <w:jc w:val="center"/>
            </w:pPr>
            <w:r>
              <w:rPr>
                <w:rFonts w:hint="eastAsia"/>
              </w:rPr>
              <w:t>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FECON将FAST的硬件流水线架构移植到基于FPGA的开源架构corundum中，从而使得FAST的流水线模型能够在corundum所支持的多种平台上运行，方便所有使用corundum作为基础平台的用户的开发工作。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FECON将支持的基本特征有：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支持FAST的UM编程模型（包括metadata, PHV以及MID抽象）；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支持FAST 的UA 接口；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兼容目前corundum提供的基本功能（checksum, hash等）。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基于ExaNIC10G作为开发与调试的硬件平台，基于github进行协同开发。预计开发周期为1个月，在7月下旬完成前期开发任务（硬件部分），并在github发布。用户可下载并借助ExaNIC10G作为平台进行使用。9月前完成软件部分开发一起其它平台的兼容支持，从而能够使用FAST的软硬件协同所提供的全部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1"/>
          <w:numId w:val="2"/>
        </w:numPr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背景与思路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Corundum的架构如图1所示。根据数据帧的流向corundum的数据通路可被分为TX与RX。从RX路径看，数据帧从MAC核进入FPGA的核心逻辑后采用了AXIS Stream协议进行传输。在Port模块中，数据流首先经过Hash模块、Checksum模块，然后交由DMA模块进行处理。而TX路径与之相反。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055" cy="200787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Corundum网卡架构图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FECON计划采用的方式是在RX路径的数据帧被交由DMA模块处理前（或TX路径的数据帧由DMA模块读出并发送前），交由插入的FAST的UM模块进行处理。其原理如图2所示。其中蓝色部分为FECON需要插入的模块。注意，由于目前corundum的设计未提供metadata的抽象，因此FECON需要利用AXIS Stream的接口进行扩展，从而为每个数据帧提供metadata。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94.45pt;width:4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FECON原理示意图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挑战是：如何保证metadata在数据帧经过DMA到达主存的过程中不会丢失？根据corundum的设计，数据帧在经过DMA处理通过PCIe到达主存前会在FPGA的片上RAM进行一次缓存。为了保证metadata与数据帧的同步，metadata也应当在此时进行缓存。比较直接的方法是在RAM模块缓存数据帧时采用一块较小RAM同时用来存储metadata，其写入/读出的使能信号等与数据帧同步，并且采用axis_tuser信号量进行传输，从而采用一组AXI便可进行数据帧与metadata的同步传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AST的设计中，metadata位于报文的头部，随报文一起进行传输。而在corundum中，若我们使用tuser信号用于传输metadata，则可能导致metadata无法被主存接收。此时我们将采用在数据帧前增加一拍的方式将tuser中的metadata与数据帧合并进行传输（同时需要修改descriptor中数据帧长度的寄存器值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</w:t>
      </w:r>
    </w:p>
    <w:p>
      <w:pPr>
        <w:numPr>
          <w:ilvl w:val="1"/>
          <w:numId w:val="2"/>
        </w:numPr>
        <w:spacing w:line="360" w:lineRule="auto"/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FAST编程模型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FECON将能够支持用户基于corundum使用FAST编程模型进行NIC开发。除少数区别外（如数据位宽从128bit变为256bit），用户能够使用FAST所提供的基于UM的硬件编程模型以及基于UA的软件编程接口。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FAST流水线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用户将能够使用FAST2.0标准的FAST五级流水线进行定制的数据帧的处理。（具体详见FAST2.0白皮书）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FECON总体设计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基于Corundum代码库进行重构，分别在软硬件层面进行FAST模块的“插入”，用于在基于corundum的NIC内提供基于FAST的编程模型与接口。本章从总体设计的角度阐述FECON的软硬件设计。在3.1节与3.2节我们分别阐释FECON硬件部分与软件部分的设计框架。在3.3节，我们详细讨论在开发过程中面临的挑战以及可能的解决方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FECON硬件架构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orundum在硬件部分提供了interface--&gt;port的框架。每个interface在OS中对应单独的以太网接口（如eth0等），而单interface包含一个或多个port模块。在corundum中，针对数据帧内容的操作（checksum的计算，hash值的计算等）均在Port模块中进行，而数据帧所对应的描述符（descriptor）的队列管理则在interface模块中进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因此，为了在插入FAST模块的同时不破坏corundum目前的逻辑结构，FAST的模块将被插入Port模块内部：当数据帧以AXI Stream数据的形式从MAC核进入Port模块时，FECON将接管数据帧，为数据帧增加metadata并在DMA模块处理前交由插入FAST模块进行处理。其逻辑流程如图3所示，其中蓝色部分为需要插入的主要模块。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6" o:spt="75" type="#_x0000_t75" style="height:88.1pt;width:414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图3 增加FAST模块的数据帧处理流程图</w:t>
      </w:r>
    </w:p>
    <w:p>
      <w:p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其中metadata attach模块用于：1) 在RX路径上为接收自MAC核的数据帧增加metadata；2) 在TX路径上为来自FAST流水线的数据帧剥离metadata。由于数据帧以AXI Stream形式进行传输，根据AXI Stream Spec定义，tuser信号可用于跟随所传输数据进行用户定制的数据传输，因此metadata借助tuser与数据帧同步进行传输。tuser位宽定义为128b，每个数据帧携带两拍共256b的metadata，其格式定义参见“FAST 2.0白皮书”20页。注意metadata将于数据帧的前两拍（前64B）同步传输，并且与数据帧共用AXIS的valid信号。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流水线模块将实现FAST架构中UM的主要功能，其默认主要包含五级流水线，完成：通用分组解析，通用关键字提取，通用查表，通用动作，通用输出引擎五项功能。由于corundum中使用了位宽为256b的AXIS数据通路，因此FAST的数据通路位宽也将由128b（134b）调整为256b。另外，与最初FAST针对的网络转发平台不同，corundum作为开源NIC在内部定义了TX/RX两条数据通路，因此FAST流水线将需要两条流水线分别处理TX与RX的数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FAST模型中，各模块使用134b中的[133:132]标记数据帧头（01），帧尾（10）以及帧体（11），并且使用[131:128]标记本拍数据中的有效字节数。为了在corundum中支持相似功能，我们将使用AXIS中的tkeep信号标记本拍数据中的有效字节数（目前corundum已支持），并利用metadata中的[125:124]用于标记帧头，帧尾以及帧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需要注意的是，由于目前未知corundum现使用的位宽为1b的tuser信号是否在DMA传输和队列处理时有其它作用，我们在经由FAST流水线处理完毕后还应当恢复tuser的格式，同时将tuser中256位的metadata信号插入tdata（需要在数据帧的头部增加一拍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根据上述设计，MD_ATTACH模块的连接关系如图4所示：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7" o:spt="75" type="#_x0000_t75" style="height:105.05pt;width:360.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图4 MD_ATTACH模块连接关系图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MD_ATTACH需要完成的工作包括：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在RX通路中，将1b的tuser以FAST 2.0的metadata格式扩展为128b；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在TX通路中，将128b的tuser恢复为1b，从而保证MAC core的正确运行；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在RX通路中，对共计2拍，256b的metadata各字段以FAST所定义格式进行填充。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而对于FAST_Pipeline模块，其连接关系如图5所示：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object>
          <v:shape id="_x0000_i1028" o:spt="75" type="#_x0000_t75" style="height:110.75pt;width:367.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图5 FAST_Pipeline模块连接关系图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FAST_Pipeline需要完成的工作包括：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在TX与RX通路分别实现FAST架构UM五级流水的基本功能；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将FAST架构中128b数据通路调整为256b；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在模块内部独立查表模块。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FECON软件架构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FECON详细设计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本章将对FECON的软硬件接口设计、基本数据结构及各部分功能实现进行详细设计。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 metadata（AXIS tuser）格式定义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根据上述所述，FECON利用AXIS tuser用于传输metadata。对于每个数据帧，共包含2拍tuser信号共计传输256b，其首拍(128b)格式定义如表一所示：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表1 metadata格式定义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1090"/>
        <w:gridCol w:w="2014"/>
        <w:gridCol w:w="3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[127]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pktsrc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分组来源，0为网络，1为CPU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[126]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pkt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分组目的，0为网络，1为CPU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[125:124]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flag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01帧头；11帧体；10帧尾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[123:120]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1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01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inport</w:t>
            </w:r>
          </w:p>
        </w:tc>
        <w:tc>
          <w:tcPr>
            <w:tcW w:w="328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分组输入端口号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[119:118]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outtype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00:单播；01:组播；10泛洪；11：从输入端口输出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[117:112]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outport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单播:分组输出端口ID， 组播/泛洪：组播或泛洪地址索引表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[111:109]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priority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[108]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discard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丢弃位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[107:96]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len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[95:88]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smid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最近一次处理分组的模块ID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[87:80]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dmid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下一个处理分组的模块ID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[79:72]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pst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标准协议类型，</w:t>
            </w: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详见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[71:64]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seq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分组接收序列号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[63:50]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flow_id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[49:32]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reserve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[31:0]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32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ts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时间戳</w:t>
            </w:r>
          </w:p>
        </w:tc>
      </w:tr>
    </w:tbl>
    <w:p>
      <w:pPr>
        <w:jc w:val="center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根据“FAST 2.0白皮书”，PST字段的当前定义如下图所示：</w:t>
      </w:r>
    </w:p>
    <w:p>
      <w:pPr>
        <w:jc w:val="center"/>
        <w:rPr>
          <w:rFonts w:hint="default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2674620" cy="2533015"/>
            <wp:effectExtent l="0" t="0" r="7620" b="1206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FECON硬件模块设计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MD_ATTACH模块设计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整体框架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模块接口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状态机设计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其它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FAST_Pipeline模块设计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整体框架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FAST_Pipeline模块为FAST UM五级流水线在corundum中的映射，位于md_attach模块与dma_client_axis_sink &amp; dma_client_axis_source模块间。FAST_Pipeline模块的接口以及前后模块的连接关系如图6所示。FAST的控制通路由AXI Light协议管理，具体设计见</w:t>
      </w:r>
      <w:r>
        <w:rPr>
          <w:rFonts w:hint="default"/>
          <w:sz w:val="21"/>
          <w:szCs w:val="22"/>
          <w:lang w:val="en-CA" w:eastAsia="zh-CN"/>
        </w:rPr>
        <w:t>4.2.3</w:t>
      </w:r>
      <w:r>
        <w:rPr>
          <w:rFonts w:hint="eastAsia"/>
          <w:sz w:val="21"/>
          <w:szCs w:val="22"/>
          <w:lang w:val="en-US" w:eastAsia="zh-CN"/>
        </w:rPr>
        <w:t>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30" o:spt="75" type="#_x0000_t75" style="height:129.9pt;width:379.5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29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图6 FAST_Pipeline模块连接关系图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详细来看，FAST_Pipeline模块顶层接口定义如表2所示，主要由两组（TX与RX）AXI Stream接口构成。</w:t>
      </w:r>
    </w:p>
    <w:p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FAST_Pipeline</w:t>
      </w:r>
      <w:r>
        <w:rPr>
          <w:rFonts w:hint="eastAsia"/>
        </w:rPr>
        <w:t>模块输入输出信号定义表</w:t>
      </w:r>
    </w:p>
    <w:tbl>
      <w:tblPr>
        <w:tblStyle w:val="7"/>
        <w:tblW w:w="78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040"/>
        <w:gridCol w:w="824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信号名称</w:t>
            </w:r>
          </w:p>
        </w:tc>
        <w:tc>
          <w:tcPr>
            <w:tcW w:w="10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82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39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r>
              <w:rPr>
                <w:rFonts w:hint="eastAsia"/>
              </w:rPr>
              <w:t>clk</w:t>
            </w:r>
          </w:p>
        </w:tc>
        <w:tc>
          <w:tcPr>
            <w:tcW w:w="1040" w:type="dxa"/>
          </w:tcPr>
          <w:p>
            <w:r>
              <w:rPr>
                <w:rFonts w:hint="eastAsia"/>
              </w:rPr>
              <w:t>input</w:t>
            </w:r>
          </w:p>
        </w:tc>
        <w:tc>
          <w:tcPr>
            <w:tcW w:w="8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903" w:type="dxa"/>
          </w:tcPr>
          <w:p>
            <w:r>
              <w:rPr>
                <w:rFonts w:hint="eastAsia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r>
              <w:rPr>
                <w:rFonts w:hint="eastAsia"/>
              </w:rPr>
              <w:t>rst_n</w:t>
            </w:r>
          </w:p>
        </w:tc>
        <w:tc>
          <w:tcPr>
            <w:tcW w:w="1040" w:type="dxa"/>
          </w:tcPr>
          <w:p>
            <w:r>
              <w:rPr>
                <w:rFonts w:hint="eastAsia"/>
              </w:rPr>
              <w:t>input</w:t>
            </w:r>
          </w:p>
        </w:tc>
        <w:tc>
          <w:tcPr>
            <w:tcW w:w="8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903" w:type="dxa"/>
          </w:tcPr>
          <w:p>
            <w:r>
              <w:rPr>
                <w:rFonts w:hint="eastAsia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tx_axis_tdata_int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tx_axis_tkeep_int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tx_axis_tvalid_int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tx_axis_tready_int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tx_axis_tuser_int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TX写metadata信号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rx_axis_tdata_int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rx_axis_tkeep_int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rx_axis_tvalid_int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rx_axis_tready_int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rx_axis_tuser_int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RX读metadata信号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tx_axis_tdata_fast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tx_axis_tkeep_fast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tx_axis_tvalid_fast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tx_axis_tready_fast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tx_axis_tuser_fast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TX读metadata信号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rx_axis_tdata_fast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rx_axis_tkeep_fast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rx_axis_tvalid_fast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rx_axis_tready_fast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rx_axis_tuser_fast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RX写metadata信号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/>
        </w:tc>
        <w:tc>
          <w:tcPr>
            <w:tcW w:w="1040" w:type="dxa"/>
          </w:tcPr>
          <w:p/>
        </w:tc>
        <w:tc>
          <w:tcPr>
            <w:tcW w:w="824" w:type="dxa"/>
          </w:tcPr>
          <w:p/>
        </w:tc>
        <w:tc>
          <w:tcPr>
            <w:tcW w:w="3903" w:type="dxa"/>
          </w:tcPr>
          <w:p/>
        </w:tc>
      </w:tr>
    </w:tbl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由于corundum将数据通路分为了TX与RX两条通路，而FAST本身五级流水线适用的为单流水线，因此在FAST_Pipeline中将使用两条独立的流水线FAST_TX与FAST_RX分别处理数据帧的发送和接收。</w:t>
      </w:r>
      <w:bookmarkStart w:id="0" w:name="_GoBack"/>
      <w:bookmarkEnd w:id="0"/>
      <w:r>
        <w:rPr>
          <w:rFonts w:hint="eastAsia"/>
          <w:sz w:val="21"/>
          <w:szCs w:val="22"/>
          <w:lang w:val="en-US" w:eastAsia="zh-CN"/>
        </w:rPr>
        <w:t>此部分主要实现FAST流水线的迁移，因此不存在流水线的设计。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其它模块设计</w:t>
      </w:r>
    </w:p>
    <w:p>
      <w:pPr>
        <w:numPr>
          <w:numId w:val="0"/>
        </w:numPr>
        <w:spacing w:line="360" w:lineRule="auto"/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FECON软件详细设计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Corundum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: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instrText xml:space="preserve"> HYPERLINK "http://cseweb.ucsd.edu/~snoeren/papers/corundum-fccm20.pdf" </w:instrTex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http://cseweb.ucsd.edu/~snoeren/papers/corundum-fccm20.pdf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AXI4-Stream: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"https://static.docs.arm.com/ihi0051/a/IHI0051A_amba4_axi4_stream_v1_0_protocol_spec.pdf"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https://static.docs.arm.com/ihi0051/a/IHI0051A_amba4_axi4_stream_v1_0_protocol_spec.pdf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FAST-ANT: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"https://github.com/fast-codesign/FAST-ANT"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https://github.com/fast-codesign/FAST-ANT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94DB8"/>
    <w:multiLevelType w:val="singleLevel"/>
    <w:tmpl w:val="99494D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D7AC14"/>
    <w:multiLevelType w:val="multilevel"/>
    <w:tmpl w:val="07D7AC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B78AE0E"/>
    <w:multiLevelType w:val="singleLevel"/>
    <w:tmpl w:val="1B78AE0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9420D6F"/>
    <w:multiLevelType w:val="singleLevel"/>
    <w:tmpl w:val="29420D6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E481905"/>
    <w:multiLevelType w:val="singleLevel"/>
    <w:tmpl w:val="2E48190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00FAA"/>
    <w:rsid w:val="00C86ED4"/>
    <w:rsid w:val="01DC4A11"/>
    <w:rsid w:val="01F6049A"/>
    <w:rsid w:val="03062E60"/>
    <w:rsid w:val="04370683"/>
    <w:rsid w:val="043F306B"/>
    <w:rsid w:val="06D4150E"/>
    <w:rsid w:val="06EF4057"/>
    <w:rsid w:val="07BF005B"/>
    <w:rsid w:val="07D1083A"/>
    <w:rsid w:val="0A546102"/>
    <w:rsid w:val="0A955809"/>
    <w:rsid w:val="0ABE15AB"/>
    <w:rsid w:val="0AF50ACA"/>
    <w:rsid w:val="0B402B35"/>
    <w:rsid w:val="0B884505"/>
    <w:rsid w:val="0BF77E5E"/>
    <w:rsid w:val="0E0800F9"/>
    <w:rsid w:val="0F0F4B21"/>
    <w:rsid w:val="0F514BAE"/>
    <w:rsid w:val="0F872D1C"/>
    <w:rsid w:val="117E0A62"/>
    <w:rsid w:val="139634EF"/>
    <w:rsid w:val="13C948D4"/>
    <w:rsid w:val="15362A7D"/>
    <w:rsid w:val="17D553B7"/>
    <w:rsid w:val="19FF6036"/>
    <w:rsid w:val="1A342A40"/>
    <w:rsid w:val="1CCF409C"/>
    <w:rsid w:val="1D187FB1"/>
    <w:rsid w:val="1D2D2235"/>
    <w:rsid w:val="1D3A6280"/>
    <w:rsid w:val="1E771DB4"/>
    <w:rsid w:val="1FDE5643"/>
    <w:rsid w:val="2015478D"/>
    <w:rsid w:val="2045193A"/>
    <w:rsid w:val="205C522D"/>
    <w:rsid w:val="210C5BA1"/>
    <w:rsid w:val="212645AA"/>
    <w:rsid w:val="23110653"/>
    <w:rsid w:val="23330A31"/>
    <w:rsid w:val="23504B95"/>
    <w:rsid w:val="240037FF"/>
    <w:rsid w:val="2473054B"/>
    <w:rsid w:val="247607B4"/>
    <w:rsid w:val="24CB0211"/>
    <w:rsid w:val="2603235A"/>
    <w:rsid w:val="267957A5"/>
    <w:rsid w:val="26D46929"/>
    <w:rsid w:val="27B50B17"/>
    <w:rsid w:val="29D92AD5"/>
    <w:rsid w:val="2B1240DA"/>
    <w:rsid w:val="2B677104"/>
    <w:rsid w:val="2C585C99"/>
    <w:rsid w:val="2C72732E"/>
    <w:rsid w:val="2C7B6007"/>
    <w:rsid w:val="2CAA75E2"/>
    <w:rsid w:val="2D7E3363"/>
    <w:rsid w:val="2E112697"/>
    <w:rsid w:val="2F0C5E45"/>
    <w:rsid w:val="2FAF2098"/>
    <w:rsid w:val="308022AB"/>
    <w:rsid w:val="30AA0FCA"/>
    <w:rsid w:val="30C01B73"/>
    <w:rsid w:val="30CD53EE"/>
    <w:rsid w:val="32072776"/>
    <w:rsid w:val="333C5BBE"/>
    <w:rsid w:val="340A751D"/>
    <w:rsid w:val="346B55D0"/>
    <w:rsid w:val="34A00FAA"/>
    <w:rsid w:val="34F85DC5"/>
    <w:rsid w:val="36AD1992"/>
    <w:rsid w:val="37D5275B"/>
    <w:rsid w:val="37E1697F"/>
    <w:rsid w:val="38D8319D"/>
    <w:rsid w:val="392E0763"/>
    <w:rsid w:val="39687645"/>
    <w:rsid w:val="3A725E72"/>
    <w:rsid w:val="3AAE4DCB"/>
    <w:rsid w:val="3AE46467"/>
    <w:rsid w:val="3AF77581"/>
    <w:rsid w:val="3B444AF7"/>
    <w:rsid w:val="3B696B97"/>
    <w:rsid w:val="3B9E1AD7"/>
    <w:rsid w:val="3D0C0674"/>
    <w:rsid w:val="3D296EBD"/>
    <w:rsid w:val="3D7D6F8D"/>
    <w:rsid w:val="3E625980"/>
    <w:rsid w:val="403D1279"/>
    <w:rsid w:val="43AC32A3"/>
    <w:rsid w:val="44295049"/>
    <w:rsid w:val="45150920"/>
    <w:rsid w:val="46836CB5"/>
    <w:rsid w:val="47BA718F"/>
    <w:rsid w:val="482F4CE3"/>
    <w:rsid w:val="49743BAA"/>
    <w:rsid w:val="49B4291E"/>
    <w:rsid w:val="4AD720FB"/>
    <w:rsid w:val="4B4A1D14"/>
    <w:rsid w:val="4B706518"/>
    <w:rsid w:val="4C0B57AC"/>
    <w:rsid w:val="4C8C1961"/>
    <w:rsid w:val="4CBE6CA1"/>
    <w:rsid w:val="4D5420C0"/>
    <w:rsid w:val="4E49685F"/>
    <w:rsid w:val="4EE96128"/>
    <w:rsid w:val="4F2B6B7C"/>
    <w:rsid w:val="50AC633D"/>
    <w:rsid w:val="517E60A0"/>
    <w:rsid w:val="533630A5"/>
    <w:rsid w:val="535914C6"/>
    <w:rsid w:val="53C95D26"/>
    <w:rsid w:val="543F5204"/>
    <w:rsid w:val="54BA15E9"/>
    <w:rsid w:val="54E030CC"/>
    <w:rsid w:val="54E30E4D"/>
    <w:rsid w:val="54F423D9"/>
    <w:rsid w:val="56492220"/>
    <w:rsid w:val="567F799D"/>
    <w:rsid w:val="59B84278"/>
    <w:rsid w:val="5A9772F3"/>
    <w:rsid w:val="5AF4568E"/>
    <w:rsid w:val="5CDF4C7D"/>
    <w:rsid w:val="5D1A5A39"/>
    <w:rsid w:val="5E250ED5"/>
    <w:rsid w:val="60913FA6"/>
    <w:rsid w:val="63322202"/>
    <w:rsid w:val="64CE4DA3"/>
    <w:rsid w:val="65525A79"/>
    <w:rsid w:val="658512BB"/>
    <w:rsid w:val="66BA7762"/>
    <w:rsid w:val="66F61D2F"/>
    <w:rsid w:val="679868FC"/>
    <w:rsid w:val="68CE3B56"/>
    <w:rsid w:val="69174DB8"/>
    <w:rsid w:val="691F278D"/>
    <w:rsid w:val="69265786"/>
    <w:rsid w:val="69434906"/>
    <w:rsid w:val="6C272D07"/>
    <w:rsid w:val="6C287026"/>
    <w:rsid w:val="6DB45201"/>
    <w:rsid w:val="6F671AAD"/>
    <w:rsid w:val="6F813771"/>
    <w:rsid w:val="6FDA2C74"/>
    <w:rsid w:val="70596954"/>
    <w:rsid w:val="71067EC1"/>
    <w:rsid w:val="71501A6A"/>
    <w:rsid w:val="72CE569B"/>
    <w:rsid w:val="73C34204"/>
    <w:rsid w:val="73D33A66"/>
    <w:rsid w:val="74674ADA"/>
    <w:rsid w:val="77320343"/>
    <w:rsid w:val="7AF267B3"/>
    <w:rsid w:val="7C3A4228"/>
    <w:rsid w:val="7DEC3C1B"/>
    <w:rsid w:val="7FC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2020-06-15T22:31:00Z</dcterms:created>
  <dc:creator>Administrator</dc:creator>
  <cp:lastModifiedBy>Administrator</cp:lastModifiedBy>
  <dcterms:modified xsi:type="dcterms:W3CDTF">2020-06-17T21:20:53Z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