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D218" w14:textId="77777777" w:rsidR="000A70D3" w:rsidRDefault="00000000">
      <w:pPr>
        <w:spacing w:after="240"/>
        <w:jc w:val="center"/>
      </w:pPr>
      <w:r>
        <w:rPr>
          <w:b/>
          <w:sz w:val="32"/>
        </w:rPr>
        <w:t>NEXUS: AN AI-POWERED ACADEMIC PERFORMANCE OPTIMIZATION PLATFORM</w:t>
      </w:r>
    </w:p>
    <w:p w14:paraId="3B84EB2A" w14:textId="77777777" w:rsidR="000A70D3" w:rsidRDefault="00000000">
      <w:pPr>
        <w:spacing w:after="120"/>
        <w:jc w:val="center"/>
      </w:pPr>
      <w:r>
        <w:t>Aman Kumar Srivastava (2330287)</w:t>
      </w:r>
    </w:p>
    <w:p w14:paraId="753E7B41" w14:textId="46841B49" w:rsidR="000A70D3" w:rsidRDefault="00000000">
      <w:pPr>
        <w:spacing w:after="240"/>
        <w:jc w:val="center"/>
      </w:pPr>
      <w:r>
        <w:t>Project Group No.: ECS</w:t>
      </w:r>
      <w:r w:rsidR="008C09A3">
        <w:t>-101</w:t>
      </w:r>
    </w:p>
    <w:p w14:paraId="790B5403" w14:textId="77777777" w:rsidR="000A70D3" w:rsidRDefault="00000000">
      <w:pPr>
        <w:spacing w:after="240"/>
        <w:jc w:val="both"/>
      </w:pPr>
      <w:r>
        <w:rPr>
          <w:b/>
        </w:rPr>
        <w:t xml:space="preserve">Abstract: </w:t>
      </w:r>
      <w:r>
        <w:t>NEXUS is an AI-powered academic performance optimization platform for KIIT University students, integrating SGPA/CGPA simulation, PDF grade parsing, Google Classroom and Gmail API connectivity, an AI advisor (Gemini 2.5 Flash), a mock question paper generator using a LoRA fine-tuned Llama 3.2-3B model, and cognitive wellness tracking into a unified Next.js dashboard with institutional authentication.</w:t>
      </w:r>
    </w:p>
    <w:p w14:paraId="42A2EA68" w14:textId="77777777" w:rsidR="000A70D3" w:rsidRDefault="00000000">
      <w:pPr>
        <w:spacing w:after="120"/>
        <w:jc w:val="both"/>
      </w:pPr>
      <w:r>
        <w:rPr>
          <w:b/>
        </w:rPr>
        <w:t xml:space="preserve">Individual Contribution and Findings: </w:t>
      </w:r>
      <w:r>
        <w:t>My primary responsibility in the NEXUS project was comprehensive user acceptance testing (UAT), beta testing, and quality assurance across all modules of the platform. This role was essential for validating the reliability, usability, and performance of the system before deployment.</w:t>
      </w:r>
    </w:p>
    <w:p w14:paraId="7F07603C" w14:textId="77777777" w:rsidR="000A70D3" w:rsidRDefault="00000000">
      <w:pPr>
        <w:spacing w:after="120"/>
        <w:jc w:val="both"/>
      </w:pPr>
      <w:r>
        <w:t>SGPA/CGPA Simulator Testing: I conducted extensive validation of the deterministic simulation engine by manually calculating expected SGPA values for 10 different grade combinations and comparing them with simulator outputs. Test cases included: all-O grades (maximum SGPA of 10.0), all-F grades (SGPA of 0.0), mixed grades with varying credit weights (3, 4, and 5-credit subjects), and improvement examination scenarios where a previous grade is replaced by a higher one. All 10 test cases passed with results matching within 0.01 precision, confirming 99.9% calculation accuracy.</w:t>
      </w:r>
    </w:p>
    <w:p w14:paraId="5903D070" w14:textId="77777777" w:rsidR="000A70D3" w:rsidRDefault="00000000">
      <w:pPr>
        <w:spacing w:after="120"/>
        <w:jc w:val="both"/>
      </w:pPr>
      <w:r>
        <w:t>PDF Parser Testing: I collected 15 Semester Grade Reports (SGRs) from various students across semesters 1 through 5 and systematically tested the parsing engine. For each PDF, I verified the extraction of: student name, roll number (7-digit), registration number, semester number, individual subject grades (subject code, name, credits, grade), SGPA, CGPA, total credits, and remarks. I documented 7 edge cases including PDFs with watermarks, varying font encodings, compound student names with prepositions, and multi-page layouts. The parser achieved 98% grade extraction accuracy and 95% SGPA/CGPA accuracy.</w:t>
      </w:r>
    </w:p>
    <w:p w14:paraId="02602F3C" w14:textId="77777777" w:rsidR="000A70D3" w:rsidRDefault="00000000">
      <w:pPr>
        <w:spacing w:after="120"/>
        <w:jc w:val="both"/>
      </w:pPr>
      <w:r>
        <w:lastRenderedPageBreak/>
        <w:t>AI Advisor Testing: I tested the Gemini-powered AI advisor with 25 diverse query types including: grade analysis requests ('Which are my weakest subjects?'), subject-specific advice ('How can I improve in Computer Networks?'), stress management queries ('I am stressed about exams'), and intentional predictive queries ('Will I pass next semester?', 'What will my final CGPA be?') to validate the Phase 2 lock mechanism. I rated response quality at 4.2/5.0 based on relevance, accuracy, and helpfulness. The Phase 2 prediction lock was successfully enforced in all test cases.</w:t>
      </w:r>
    </w:p>
    <w:p w14:paraId="3F00BC68" w14:textId="77777777" w:rsidR="000A70D3" w:rsidRDefault="00000000">
      <w:pPr>
        <w:spacing w:after="120"/>
        <w:jc w:val="both"/>
      </w:pPr>
      <w:r>
        <w:t>Google Classroom Integration Testing: I tested the Classroom sync feature by authenticating with my @kiit.ac.in account and verifying that all active courses were fetched correctly. I validated assignment listing accuracy, due date formatting, external link functionality, course hiding/unhiding operations, and the re-authentication flow when tokens expired. The sync achieved 100% course fetch success rate.</w:t>
      </w:r>
    </w:p>
    <w:p w14:paraId="1A48B0B0" w14:textId="77777777" w:rsidR="000A70D3" w:rsidRDefault="00000000">
      <w:pPr>
        <w:spacing w:after="120"/>
        <w:jc w:val="both"/>
      </w:pPr>
      <w:r>
        <w:t>Attendance Sync Testing: I tested the Gmail attendance parser with 8 different attendance emails from academics@kiit.ac.in spanning multiple semesters. I verified that course codes and percentages were correctly extracted and stored in the database. The parser succeeded for 7 out of 8 emails (87.5% success rate), with the single failure attributed to a modified email format from a previous semester.</w:t>
      </w:r>
    </w:p>
    <w:p w14:paraId="71AEFE51" w14:textId="77777777" w:rsidR="000A70D3" w:rsidRDefault="00000000">
      <w:pPr>
        <w:spacing w:after="120"/>
        <w:jc w:val="both"/>
      </w:pPr>
      <w:r>
        <w:t>Cross-Browser and Performance Testing: I tested the application across Chrome, Firefox, and Edge browsers on Windows 11 to ensure consistent rendering of animations, PDF parsing functionality, and OAuth flow completion. I benchmarked API response times across all endpoints, documenting average and P95 latencies.</w:t>
      </w:r>
    </w:p>
    <w:p w14:paraId="615F53F9" w14:textId="77777777" w:rsidR="000A70D3" w:rsidRDefault="00000000">
      <w:pPr>
        <w:spacing w:after="120"/>
        <w:jc w:val="both"/>
      </w:pPr>
      <w:r>
        <w:t>Key Technical Findings: (1) The PDF parser occasionally fails on SGRs generated before 2021 due to older font encoding standards. (2) Framer Motion animations render consistently across all tested browsers. (3) The OAuth re-authentication flow needs UX improvement—users are confused when tokens expire silently. (4) NeonDB cold starts add ~500ms to the first API call after inactivity. (5) The SGPA simulator handles edge cases correctly but lacks input validation for non-standard credit values.</w:t>
      </w:r>
    </w:p>
    <w:p w14:paraId="21255CB0" w14:textId="77777777" w:rsidR="000A70D3" w:rsidRDefault="000A70D3"/>
    <w:p w14:paraId="31618EA0" w14:textId="77777777" w:rsidR="000A70D3" w:rsidRDefault="00000000">
      <w:pPr>
        <w:spacing w:after="120"/>
        <w:jc w:val="both"/>
      </w:pPr>
      <w:r>
        <w:rPr>
          <w:b/>
        </w:rPr>
        <w:t xml:space="preserve">Individual Contribution to Project Report Preparation: </w:t>
      </w:r>
      <w:r>
        <w:t xml:space="preserve">I contributed to Chapter 3 (Experimentation and Tests) including Section 3.1 (PDF Parsing Engine testing results), Section 3.4 (Prototype Testing and Simulations) covering all testing </w:t>
      </w:r>
      <w:r>
        <w:lastRenderedPageBreak/>
        <w:t>methodologies and results. I also contributed to Chapter 5 (Result Analysis and Discussion) by providing the quantitative test results, performance metrics tables (Table I and Table II), and Section 5.3 (Project Demonstration) documenting the live demo user journey. I prepared Appendix A (Gantt Chart) with the project timeline.</w:t>
      </w:r>
    </w:p>
    <w:p w14:paraId="06A95CEE" w14:textId="77777777" w:rsidR="000A70D3" w:rsidRDefault="000A70D3"/>
    <w:p w14:paraId="2A5ED0E8" w14:textId="77777777" w:rsidR="000A70D3" w:rsidRDefault="00000000">
      <w:pPr>
        <w:spacing w:after="120"/>
        <w:jc w:val="both"/>
      </w:pPr>
      <w:r>
        <w:rPr>
          <w:b/>
        </w:rPr>
        <w:t xml:space="preserve">Individual Contribution for Project Presentation and Demonstration: </w:t>
      </w:r>
      <w:r>
        <w:t>I prepared the presentation slides covering testing methodology, results analysis, and performance metrics. During the demonstration, I assisted with the live testing portion by providing test PDF files and demonstrating edge case handling. I presented the results tables and explained the testing framework including the accuracy metrics, response time benchmarks, and cross-browser compatibility findings. I also prepared backup demo scenarios in case of network issues during the live demonstration.</w:t>
      </w:r>
    </w:p>
    <w:p w14:paraId="128121D6" w14:textId="77777777" w:rsidR="000A70D3" w:rsidRDefault="000A70D3"/>
    <w:p w14:paraId="7EFBC224" w14:textId="77777777" w:rsidR="000A70D3" w:rsidRDefault="000A70D3"/>
    <w:p w14:paraId="1B53D026" w14:textId="77777777" w:rsidR="000A70D3" w:rsidRDefault="000A70D3"/>
    <w:tbl>
      <w:tblPr>
        <w:tblW w:w="0" w:type="auto"/>
        <w:jc w:val="center"/>
        <w:tblLook w:val="04A0" w:firstRow="1" w:lastRow="0" w:firstColumn="1" w:lastColumn="0" w:noHBand="0" w:noVBand="1"/>
      </w:tblPr>
      <w:tblGrid>
        <w:gridCol w:w="4156"/>
        <w:gridCol w:w="4156"/>
      </w:tblGrid>
      <w:tr w:rsidR="000A70D3" w14:paraId="21A7F8F1" w14:textId="77777777">
        <w:trPr>
          <w:jc w:val="center"/>
        </w:trPr>
        <w:tc>
          <w:tcPr>
            <w:tcW w:w="4156" w:type="dxa"/>
          </w:tcPr>
          <w:p w14:paraId="7964F906" w14:textId="77777777" w:rsidR="000A70D3" w:rsidRDefault="00000000">
            <w:r>
              <w:t>Full Signature of Supervisor/s:</w:t>
            </w:r>
          </w:p>
        </w:tc>
        <w:tc>
          <w:tcPr>
            <w:tcW w:w="4156" w:type="dxa"/>
          </w:tcPr>
          <w:p w14:paraId="31B2565D" w14:textId="77777777" w:rsidR="000A70D3" w:rsidRDefault="00000000">
            <w:pPr>
              <w:jc w:val="right"/>
            </w:pPr>
            <w:r>
              <w:t>Full Signature of the Student:</w:t>
            </w:r>
          </w:p>
        </w:tc>
      </w:tr>
      <w:tr w:rsidR="000A70D3" w14:paraId="06DCF9FD" w14:textId="77777777">
        <w:trPr>
          <w:jc w:val="center"/>
        </w:trPr>
        <w:tc>
          <w:tcPr>
            <w:tcW w:w="4156" w:type="dxa"/>
          </w:tcPr>
          <w:p w14:paraId="4405F025" w14:textId="77777777" w:rsidR="000A70D3" w:rsidRDefault="00000000">
            <w:r>
              <w:t>…………………………….</w:t>
            </w:r>
          </w:p>
        </w:tc>
        <w:tc>
          <w:tcPr>
            <w:tcW w:w="4156" w:type="dxa"/>
          </w:tcPr>
          <w:p w14:paraId="32DA96EE" w14:textId="77777777" w:rsidR="000A70D3" w:rsidRDefault="00000000">
            <w:pPr>
              <w:jc w:val="right"/>
            </w:pPr>
            <w:r>
              <w:t>……………………………..</w:t>
            </w:r>
          </w:p>
        </w:tc>
      </w:tr>
    </w:tbl>
    <w:p w14:paraId="666F03FF" w14:textId="77777777" w:rsidR="006C31A6" w:rsidRDefault="006C31A6"/>
    <w:sectPr w:rsidR="006C31A6"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84778">
    <w:abstractNumId w:val="8"/>
  </w:num>
  <w:num w:numId="2" w16cid:durableId="685014567">
    <w:abstractNumId w:val="6"/>
  </w:num>
  <w:num w:numId="3" w16cid:durableId="1149636951">
    <w:abstractNumId w:val="5"/>
  </w:num>
  <w:num w:numId="4" w16cid:durableId="836117520">
    <w:abstractNumId w:val="4"/>
  </w:num>
  <w:num w:numId="5" w16cid:durableId="567809587">
    <w:abstractNumId w:val="7"/>
  </w:num>
  <w:num w:numId="6" w16cid:durableId="331758140">
    <w:abstractNumId w:val="3"/>
  </w:num>
  <w:num w:numId="7" w16cid:durableId="2010711738">
    <w:abstractNumId w:val="2"/>
  </w:num>
  <w:num w:numId="8" w16cid:durableId="957955351">
    <w:abstractNumId w:val="1"/>
  </w:num>
  <w:num w:numId="9" w16cid:durableId="1017656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0D3"/>
    <w:rsid w:val="0015074B"/>
    <w:rsid w:val="0029639D"/>
    <w:rsid w:val="00326F90"/>
    <w:rsid w:val="006C31A6"/>
    <w:rsid w:val="00854FF9"/>
    <w:rsid w:val="008C09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69FAD"/>
  <w14:defaultImageDpi w14:val="300"/>
  <w15:docId w15:val="{24584C1E-C967-4419-B21B-9A324BD1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Kumar Rathore</cp:lastModifiedBy>
  <cp:revision>2</cp:revision>
  <dcterms:created xsi:type="dcterms:W3CDTF">2013-12-23T23:15:00Z</dcterms:created>
  <dcterms:modified xsi:type="dcterms:W3CDTF">2026-03-29T07:44:00Z</dcterms:modified>
  <cp:category/>
</cp:coreProperties>
</file>