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AD0AF1">
      <w:r>
        <w:rPr>
          <w:rFonts w:ascii="Tahoma" w:hAnsi="Tahoma" w:cs="Tahoma"/>
          <w:color w:val="444444"/>
          <w:szCs w:val="21"/>
          <w:shd w:val="clear" w:color="auto" w:fill="FFFFFF"/>
        </w:rPr>
        <w:t>最短路由算法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时延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为什么计算机安全不只有保密性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码分多址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计算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协议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实体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数据报分片计算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缓存溢出攻击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公钥私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奇校验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数字签名能不能用于报文鉴别和实体鉴别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传输速度影响因素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香农公式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HDSL PPP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数据压缩在哪个层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28"/>
    <w:rsid w:val="00055B28"/>
    <w:rsid w:val="003032AD"/>
    <w:rsid w:val="00AD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084B0-A647-4D0F-B6FC-E8A764F4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2018-04-11T13:21:00Z</dcterms:created>
  <dcterms:modified xsi:type="dcterms:W3CDTF">2018-04-11T13:21:00Z</dcterms:modified>
</cp:coreProperties>
</file>