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40" w:lineRule="auto"/>
      </w:pPr>
      <w:r>
        <w:rPr>
          <w:rFonts w:ascii="Arial" w:hAnsi="Arial"/>
          <w:b w:val="0"/>
          <w:i w:val="0"/>
          <w:color w:val="000000"/>
          <w:sz w:val="52"/>
        </w:rPr>
        <w:t>Vendor Portal Implementation Blueprint</w:t>
      </w:r>
    </w:p>
    <w:p>
      <w:pPr>
        <w:keepLines/>
        <w:spacing w:before="0" w:after="160" w:line="276" w:lineRule="auto"/>
      </w:pPr>
      <w:r>
        <w:rPr>
          <w:rFonts w:ascii="Arial" w:hAnsi="Arial"/>
          <w:b w:val="0"/>
          <w:i w:val="0"/>
          <w:color w:val="000000"/>
          <w:sz w:val="22"/>
        </w:rPr>
        <w:t>Status:</w:t>
      </w:r>
      <w:r>
        <w:rPr>
          <w:rFonts w:ascii="Arial" w:hAnsi="Arial"/>
          <w:b w:val="0"/>
          <w:i w:val="0"/>
          <w:color w:val="000000"/>
          <w:sz w:val="22"/>
        </w:rPr>
        <w:t xml:space="preserve"> Product roadmap stages 00-09 merged; final platform and release completion approved</w:t>
      </w:r>
    </w:p>
    <w:p>
      <w:pPr>
        <w:keepLines/>
        <w:spacing w:before="0" w:after="160" w:line="276" w:lineRule="auto"/>
      </w:pPr>
      <w:r>
        <w:rPr>
          <w:rFonts w:ascii="Arial" w:hAnsi="Arial"/>
          <w:b w:val="0"/>
          <w:i w:val="0"/>
          <w:color w:val="000000"/>
          <w:sz w:val="22"/>
        </w:rPr>
        <w:t>Reviewed:</w:t>
      </w:r>
      <w:r>
        <w:rPr>
          <w:rFonts w:ascii="Arial" w:hAnsi="Arial"/>
          <w:b w:val="0"/>
          <w:i w:val="0"/>
          <w:color w:val="000000"/>
          <w:sz w:val="22"/>
        </w:rPr>
        <w:t xml:space="preserve"> 2026-09-01</w:t>
      </w:r>
    </w:p>
    <w:p>
      <w:pPr>
        <w:keepLines/>
        <w:spacing w:before="0" w:after="160" w:line="276" w:lineRule="auto"/>
      </w:pPr>
      <w:r>
        <w:rPr>
          <w:rFonts w:ascii="Arial" w:hAnsi="Arial"/>
          <w:b w:val="0"/>
          <w:i w:val="0"/>
          <w:color w:val="000000"/>
          <w:sz w:val="22"/>
        </w:rPr>
        <w:t>Primary audience:</w:t>
      </w:r>
      <w:r>
        <w:rPr>
          <w:rFonts w:ascii="Arial" w:hAnsi="Arial"/>
          <w:b w:val="0"/>
          <w:i w:val="0"/>
          <w:color w:val="000000"/>
          <w:sz w:val="22"/>
        </w:rPr>
        <w:t xml:space="preserve"> First-time producers, creators, influencers, small brands, and growing vendors</w:t>
      </w:r>
    </w:p>
    <w:p>
      <w:pPr>
        <w:keepLines/>
        <w:spacing w:before="0" w:after="160" w:line="276" w:lineRule="auto"/>
      </w:pPr>
      <w:r>
        <w:rPr>
          <w:rFonts w:ascii="Arial" w:hAnsi="Arial"/>
          <w:b w:val="0"/>
          <w:i w:val="0"/>
          <w:color w:val="000000"/>
          <w:sz w:val="22"/>
        </w:rPr>
        <w:t>Repository baseline:</w:t>
      </w:r>
      <w:r>
        <w:rPr>
          <w:rFonts w:ascii="Arial" w:hAnsi="Arial"/>
          <w:b w:val="0"/>
          <w:i w:val="0"/>
          <w:color w:val="000000"/>
          <w:sz w:val="22"/>
        </w:rPr>
        <w:t xml:space="preserve"> Next.js Vendor Portal, Express API, PostgreSQL/Prisma, Cloudflare R2</w:t>
      </w:r>
    </w:p>
    <w:p>
      <w:pPr>
        <w:pStyle w:val="Heading2"/>
      </w:pPr>
      <w:r>
        <w:rPr>
          <w:rFonts w:ascii="Arial" w:hAnsi="Arial"/>
          <w:b w:val="0"/>
          <w:i w:val="0"/>
          <w:color w:val="000000"/>
          <w:sz w:val="32"/>
        </w:rPr>
        <w:t>1. Executive summary</w:t>
      </w:r>
    </w:p>
    <w:p>
      <w:pPr>
        <w:keepLines/>
        <w:spacing w:before="0" w:after="160" w:line="276" w:lineRule="auto"/>
      </w:pPr>
      <w:r>
        <w:rPr>
          <w:rFonts w:ascii="Arial" w:hAnsi="Arial"/>
          <w:b w:val="0"/>
          <w:i w:val="0"/>
          <w:color w:val="000000"/>
          <w:sz w:val="22"/>
        </w:rPr>
        <w:t>The immediate product goal is to finish a simple, product-first Vendor Portal on a platform foundation that can support additional subscribed portals later. A new vendor should be able to register, create an organization and vendor profile, choose from a ready-made taxonomy, apply a relevant product template, and create the first product without first configuring categories or templates.</w:t>
      </w:r>
    </w:p>
    <w:p>
      <w:pPr>
        <w:keepLines/>
        <w:spacing w:before="0" w:after="160" w:line="276" w:lineRule="auto"/>
      </w:pPr>
      <w:r>
        <w:rPr>
          <w:rFonts w:ascii="Arial" w:hAnsi="Arial"/>
          <w:b w:val="0"/>
          <w:i w:val="0"/>
          <w:color w:val="000000"/>
          <w:sz w:val="22"/>
        </w:rPr>
        <w:t>Product roadmap stages 00 through 09 have delivered four core capabilities on the stabilized Phase 0 foundation:</w:t>
      </w:r>
    </w:p>
    <w:p>
      <w:pPr>
        <w:pStyle w:val="ListNumber"/>
        <w:keepLines/>
        <w:numPr>
          <w:ilvl w:val="0"/>
          <w:numId w:val="10"/>
        </w:numPr>
        <w:spacing w:after="80" w:line="276" w:lineRule="auto"/>
        <w:ind w:left="720" w:hanging="360"/>
      </w:pPr>
      <w:r>
        <w:rPr>
          <w:rFonts w:ascii="Arial" w:hAnsi="Arial"/>
          <w:b w:val="0"/>
          <w:i w:val="0"/>
          <w:color w:val="000000"/>
          <w:sz w:val="22"/>
        </w:rPr>
        <w:t>A floating quick-create menu with Add Product as the dominant action.</w:t>
      </w:r>
    </w:p>
    <w:p>
      <w:pPr>
        <w:pStyle w:val="ListNumber"/>
        <w:keepLines/>
        <w:numPr>
          <w:ilvl w:val="0"/>
          <w:numId w:val="10"/>
        </w:numPr>
        <w:spacing w:after="80" w:line="276" w:lineRule="auto"/>
        <w:ind w:left="720" w:hanging="360"/>
      </w:pPr>
      <w:r>
        <w:rPr>
          <w:rFonts w:ascii="Arial" w:hAnsi="Arial"/>
          <w:b w:val="0"/>
          <w:i w:val="0"/>
          <w:color w:val="000000"/>
          <w:sz w:val="22"/>
        </w:rPr>
        <w:t>A searchable, seeded category and template library.</w:t>
      </w:r>
    </w:p>
    <w:p>
      <w:pPr>
        <w:pStyle w:val="ListNumber"/>
        <w:keepLines/>
        <w:numPr>
          <w:ilvl w:val="0"/>
          <w:numId w:val="10"/>
        </w:numPr>
        <w:spacing w:after="80" w:line="276" w:lineRule="auto"/>
        <w:ind w:left="720" w:hanging="360"/>
      </w:pPr>
      <w:r>
        <w:rPr>
          <w:rFonts w:ascii="Arial" w:hAnsi="Arial"/>
          <w:b w:val="0"/>
          <w:i w:val="0"/>
          <w:color w:val="000000"/>
          <w:sz w:val="22"/>
        </w:rPr>
        <w:t>Sellable product versions with independent characteristics, designs, media, identifiers, and lifecycle states.</w:t>
      </w:r>
    </w:p>
    <w:p>
      <w:pPr>
        <w:pStyle w:val="ListNumber"/>
        <w:keepLines/>
        <w:numPr>
          <w:ilvl w:val="0"/>
          <w:numId w:val="10"/>
        </w:numPr>
        <w:spacing w:after="80" w:line="276" w:lineRule="auto"/>
        <w:ind w:left="720" w:hanging="360"/>
      </w:pPr>
      <w:r>
        <w:rPr>
          <w:rFonts w:ascii="Arial" w:hAnsi="Arial"/>
          <w:b w:val="0"/>
          <w:i w:val="0"/>
          <w:color w:val="000000"/>
          <w:sz w:val="22"/>
        </w:rPr>
        <w:t>Universal search across products, versions, categories, and templates.</w:t>
      </w:r>
    </w:p>
    <w:p>
      <w:pPr>
        <w:keepLines/>
        <w:spacing w:before="0" w:after="160" w:line="276" w:lineRule="auto"/>
      </w:pPr>
      <w:r>
        <w:rPr>
          <w:rFonts w:ascii="Arial" w:hAnsi="Arial"/>
          <w:b w:val="0"/>
          <w:i w:val="0"/>
          <w:color w:val="000000"/>
          <w:sz w:val="22"/>
        </w:rPr>
        <w:t>The remaining release scope reconciles the merged vendor history with the newer frontend architecture, upgrades Prisma 5 to Prisma 7, replaces the handwritten authentication system with Better Auth, separates users and organizations from the vendor profile, adds organization-owned portal subscriptions and member portal access, and completes release hardening. Draft, Active, and Discontinued remain explicit states for both products and versions.</w:t>
      </w:r>
    </w:p>
    <w:p>
      <w:pPr>
        <w:keepLines/>
        <w:spacing w:before="0" w:after="160" w:line="276" w:lineRule="auto"/>
      </w:pPr>
      <w:r>
        <w:rPr>
          <w:rFonts w:ascii="Arial" w:hAnsi="Arial"/>
          <w:b w:val="0"/>
          <w:i w:val="0"/>
          <w:color w:val="000000"/>
          <w:sz w:val="22"/>
        </w:rPr>
        <w:t>The Inventory Portal is strategically important but is not part of this implementation run. It will begin in a separate chat only after this Vendor Portal release is complete.</w:t>
      </w:r>
    </w:p>
    <w:p>
      <w:pPr>
        <w:pStyle w:val="Heading2"/>
      </w:pPr>
      <w:r>
        <w:rPr>
          <w:rFonts w:ascii="Arial" w:hAnsi="Arial"/>
          <w:b w:val="0"/>
          <w:i w:val="0"/>
          <w:color w:val="000000"/>
          <w:sz w:val="32"/>
        </w:rPr>
        <w:t>2. Product principles</w:t>
      </w:r>
    </w:p>
    <w:p>
      <w:pPr>
        <w:pStyle w:val="ListBullet"/>
        <w:keepLines/>
        <w:spacing w:after="80" w:line="276" w:lineRule="auto"/>
        <w:ind w:left="720" w:hanging="360"/>
      </w:pPr>
      <w:r>
        <w:rPr>
          <w:rFonts w:ascii="Arial" w:hAnsi="Arial"/>
          <w:b w:val="0"/>
          <w:i w:val="0"/>
          <w:color w:val="000000"/>
          <w:sz w:val="22"/>
        </w:rPr>
        <w:t>Product creation comes before taxonomy administration.</w:t>
      </w:r>
    </w:p>
    <w:p>
      <w:pPr>
        <w:pStyle w:val="ListBullet"/>
        <w:keepLines/>
        <w:spacing w:after="80" w:line="276" w:lineRule="auto"/>
        <w:ind w:left="720" w:hanging="360"/>
      </w:pPr>
      <w:r>
        <w:rPr>
          <w:rFonts w:ascii="Arial" w:hAnsi="Arial"/>
          <w:b w:val="0"/>
          <w:i w:val="0"/>
          <w:color w:val="000000"/>
          <w:sz w:val="22"/>
        </w:rPr>
        <w:t>A first-time vendor should create a valid first product in under three minutes.</w:t>
      </w:r>
    </w:p>
    <w:p>
      <w:pPr>
        <w:pStyle w:val="ListBullet"/>
        <w:keepLines/>
        <w:spacing w:after="80" w:line="276" w:lineRule="auto"/>
        <w:ind w:left="720" w:hanging="360"/>
      </w:pPr>
      <w:r>
        <w:rPr>
          <w:rFonts w:ascii="Arial" w:hAnsi="Arial"/>
          <w:b w:val="0"/>
          <w:i w:val="0"/>
          <w:color w:val="000000"/>
          <w:sz w:val="22"/>
        </w:rPr>
        <w:t>Product, category, and template creation must be reachable from one consistent plus menu.</w:t>
      </w:r>
    </w:p>
    <w:p>
      <w:pPr>
        <w:pStyle w:val="ListBullet"/>
        <w:keepLines/>
        <w:spacing w:after="80" w:line="276" w:lineRule="auto"/>
        <w:ind w:left="720" w:hanging="360"/>
      </w:pPr>
      <w:r>
        <w:rPr>
          <w:rFonts w:ascii="Arial" w:hAnsi="Arial"/>
          <w:b w:val="0"/>
          <w:i w:val="0"/>
          <w:color w:val="000000"/>
          <w:sz w:val="22"/>
        </w:rPr>
        <w:t>Required fields are limited to product name and category; identifiers, media, design notes, and characteristics remain optional.</w:t>
      </w:r>
    </w:p>
    <w:p>
      <w:pPr>
        <w:pStyle w:val="ListBullet"/>
        <w:keepLines/>
        <w:spacing w:after="80" w:line="276" w:lineRule="auto"/>
        <w:ind w:left="720" w:hanging="360"/>
      </w:pPr>
      <w:r>
        <w:rPr>
          <w:rFonts w:ascii="Arial" w:hAnsi="Arial"/>
          <w:b w:val="0"/>
          <w:i w:val="0"/>
          <w:color w:val="000000"/>
          <w:sz w:val="22"/>
        </w:rPr>
        <w:t>Complexity appears progressively. Versions, custom templates, custom categories, CSV, and identifiers are available without dominating the first-use experience.</w:t>
      </w:r>
    </w:p>
    <w:p>
      <w:pPr>
        <w:pStyle w:val="ListBullet"/>
        <w:keepLines/>
        <w:spacing w:after="80" w:line="276" w:lineRule="auto"/>
        <w:ind w:left="720" w:hanging="360"/>
      </w:pPr>
      <w:r>
        <w:rPr>
          <w:rFonts w:ascii="Arial" w:hAnsi="Arial"/>
          <w:b w:val="0"/>
          <w:i w:val="0"/>
          <w:color w:val="000000"/>
          <w:sz w:val="22"/>
        </w:rPr>
        <w:t>System categories and templates are read-only. Vendors may create private records or duplicate a system template.</w:t>
      </w:r>
    </w:p>
    <w:p>
      <w:pPr>
        <w:pStyle w:val="ListBullet"/>
        <w:keepLines/>
        <w:spacing w:after="80" w:line="276" w:lineRule="auto"/>
        <w:ind w:left="720" w:hanging="360"/>
      </w:pPr>
      <w:r>
        <w:rPr>
          <w:rFonts w:ascii="Arial" w:hAnsi="Arial"/>
          <w:b w:val="0"/>
          <w:i w:val="0"/>
          <w:color w:val="000000"/>
          <w:sz w:val="22"/>
        </w:rPr>
        <w:t>Product versions model sellable editions that may coexist, not immutable edit-history snapshots.</w:t>
      </w:r>
    </w:p>
    <w:p>
      <w:pPr>
        <w:pStyle w:val="ListBullet"/>
        <w:keepLines/>
        <w:spacing w:after="80" w:line="276" w:lineRule="auto"/>
        <w:ind w:left="720" w:hanging="360"/>
      </w:pPr>
      <w:r>
        <w:rPr>
          <w:rFonts w:ascii="Arial" w:hAnsi="Arial"/>
          <w:b w:val="0"/>
          <w:i w:val="0"/>
          <w:color w:val="000000"/>
          <w:sz w:val="22"/>
        </w:rPr>
        <w:t>Every query and mutation is tenant-scoped at the API and service layers.</w:t>
      </w:r>
    </w:p>
    <w:p>
      <w:pPr>
        <w:pStyle w:val="ListBullet"/>
        <w:keepLines/>
        <w:spacing w:after="80" w:line="276" w:lineRule="auto"/>
        <w:ind w:left="720" w:hanging="360"/>
      </w:pPr>
      <w:r>
        <w:rPr>
          <w:rFonts w:ascii="Arial" w:hAnsi="Arial"/>
          <w:b w:val="0"/>
          <w:i w:val="0"/>
          <w:color w:val="000000"/>
          <w:sz w:val="22"/>
        </w:rPr>
        <w:t>A User, Organization, portal subscription, and Vendor Profile are separate domain concepts.</w:t>
      </w:r>
    </w:p>
    <w:p>
      <w:pPr>
        <w:pStyle w:val="ListBullet"/>
        <w:keepLines/>
        <w:spacing w:after="80" w:line="276" w:lineRule="auto"/>
        <w:ind w:left="720" w:hanging="360"/>
      </w:pPr>
      <w:r>
        <w:rPr>
          <w:rFonts w:ascii="Arial" w:hAnsi="Arial"/>
          <w:b w:val="0"/>
          <w:i w:val="0"/>
          <w:color w:val="000000"/>
          <w:sz w:val="22"/>
        </w:rPr>
        <w:t>Organizations own portal subscriptions; Vendor Profiles own vendor catalog data.</w:t>
      </w:r>
    </w:p>
    <w:p>
      <w:pPr>
        <w:pStyle w:val="ListBullet"/>
        <w:keepLines/>
        <w:spacing w:after="80" w:line="276" w:lineRule="auto"/>
        <w:ind w:left="720" w:hanging="360"/>
      </w:pPr>
      <w:r>
        <w:rPr>
          <w:rFonts w:ascii="Arial" w:hAnsi="Arial"/>
          <w:b w:val="0"/>
          <w:i w:val="0"/>
          <w:color w:val="000000"/>
          <w:sz w:val="22"/>
        </w:rPr>
        <w:t>Owners may invite members and grant or revoke Vendor Portal access.</w:t>
      </w:r>
    </w:p>
    <w:p>
      <w:pPr>
        <w:pStyle w:val="ListBullet"/>
        <w:keepLines/>
        <w:spacing w:after="80" w:line="276" w:lineRule="auto"/>
        <w:ind w:left="720" w:hanging="360"/>
      </w:pPr>
      <w:r>
        <w:rPr>
          <w:rFonts w:ascii="Arial" w:hAnsi="Arial"/>
          <w:b w:val="0"/>
          <w:i w:val="0"/>
          <w:color w:val="000000"/>
          <w:sz w:val="22"/>
        </w:rPr>
        <w:t>Authentication and tenancy migrations are additive and verified before transitional fields are removed.</w:t>
      </w:r>
    </w:p>
    <w:p>
      <w:pPr>
        <w:pStyle w:val="ListBullet"/>
        <w:keepLines/>
        <w:spacing w:after="80" w:line="276" w:lineRule="auto"/>
        <w:ind w:left="720" w:hanging="360"/>
      </w:pPr>
      <w:r>
        <w:rPr>
          <w:rFonts w:ascii="Arial" w:hAnsi="Arial"/>
          <w:b w:val="0"/>
          <w:i w:val="0"/>
          <w:color w:val="000000"/>
          <w:sz w:val="22"/>
        </w:rPr>
        <w:t>PostgreSQL remains the search source of truth until measured usage justifies another service.</w:t>
      </w:r>
    </w:p>
    <w:p>
      <w:pPr>
        <w:pStyle w:val="Heading2"/>
      </w:pPr>
      <w:r>
        <w:rPr>
          <w:rFonts w:ascii="Arial" w:hAnsi="Arial"/>
          <w:b w:val="0"/>
          <w:i w:val="0"/>
          <w:color w:val="000000"/>
          <w:sz w:val="32"/>
        </w:rPr>
        <w:t>3. Completion scope</w:t>
      </w:r>
    </w:p>
    <w:p>
      <w:pPr>
        <w:pStyle w:val="Heading3"/>
      </w:pPr>
      <w:r>
        <w:rPr>
          <w:rFonts w:ascii="Arial" w:hAnsi="Arial"/>
          <w:b w:val="0"/>
          <w:i w:val="0"/>
          <w:color w:val="434343"/>
          <w:sz w:val="28"/>
        </w:rPr>
        <w:t>Included</w:t>
      </w:r>
    </w:p>
    <w:p>
      <w:pPr>
        <w:pStyle w:val="ListBullet"/>
        <w:keepLines/>
        <w:spacing w:after="80" w:line="276" w:lineRule="auto"/>
        <w:ind w:left="720" w:hanging="360"/>
      </w:pPr>
      <w:r>
        <w:rPr>
          <w:rFonts w:ascii="Arial" w:hAnsi="Arial"/>
          <w:b w:val="0"/>
          <w:i w:val="0"/>
          <w:color w:val="000000"/>
          <w:sz w:val="22"/>
        </w:rPr>
        <w:t>Product list, create, view, edit, soft-delete, status filtering, media, barcode, and QR.</w:t>
      </w:r>
    </w:p>
    <w:p>
      <w:pPr>
        <w:pStyle w:val="ListBullet"/>
        <w:keepLines/>
        <w:spacing w:after="80" w:line="276" w:lineRule="auto"/>
        <w:ind w:left="720" w:hanging="360"/>
      </w:pPr>
      <w:r>
        <w:rPr>
          <w:rFonts w:ascii="Arial" w:hAnsi="Arial"/>
          <w:b w:val="0"/>
          <w:i w:val="0"/>
          <w:color w:val="000000"/>
          <w:sz w:val="22"/>
        </w:rPr>
        <w:t>Product versions with independent SKU, barcode, QR, characteristics, design notes, images, primary flag, and status.</w:t>
      </w:r>
    </w:p>
    <w:p>
      <w:pPr>
        <w:pStyle w:val="ListBullet"/>
        <w:keepLines/>
        <w:spacing w:after="80" w:line="276" w:lineRule="auto"/>
        <w:ind w:left="720" w:hanging="360"/>
      </w:pPr>
      <w:r>
        <w:rPr>
          <w:rFonts w:ascii="Arial" w:hAnsi="Arial"/>
          <w:b w:val="0"/>
          <w:i w:val="0"/>
          <w:color w:val="000000"/>
          <w:sz w:val="22"/>
        </w:rPr>
        <w:t>A 126-category system taxonomy and 12 system characteristic templates.</w:t>
      </w:r>
    </w:p>
    <w:p>
      <w:pPr>
        <w:pStyle w:val="ListBullet"/>
        <w:keepLines/>
        <w:spacing w:after="80" w:line="276" w:lineRule="auto"/>
        <w:ind w:left="720" w:hanging="360"/>
      </w:pPr>
      <w:r>
        <w:rPr>
          <w:rFonts w:ascii="Arial" w:hAnsi="Arial"/>
          <w:b w:val="0"/>
          <w:i w:val="0"/>
          <w:color w:val="000000"/>
          <w:sz w:val="22"/>
        </w:rPr>
        <w:t>Searchable category selection and automatic default-template loading.</w:t>
      </w:r>
    </w:p>
    <w:p>
      <w:pPr>
        <w:pStyle w:val="ListBullet"/>
        <w:keepLines/>
        <w:spacing w:after="80" w:line="276" w:lineRule="auto"/>
        <w:ind w:left="720" w:hanging="360"/>
      </w:pPr>
      <w:r>
        <w:rPr>
          <w:rFonts w:ascii="Arial" w:hAnsi="Arial"/>
          <w:b w:val="0"/>
          <w:i w:val="0"/>
          <w:color w:val="000000"/>
          <w:sz w:val="22"/>
        </w:rPr>
        <w:t>Floating quick-create UI for products, templates, and categories.</w:t>
      </w:r>
    </w:p>
    <w:p>
      <w:pPr>
        <w:pStyle w:val="ListBullet"/>
        <w:keepLines/>
        <w:spacing w:after="80" w:line="276" w:lineRule="auto"/>
        <w:ind w:left="720" w:hanging="360"/>
      </w:pPr>
      <w:r>
        <w:rPr>
          <w:rFonts w:ascii="Arial" w:hAnsi="Arial"/>
          <w:b w:val="0"/>
          <w:i w:val="0"/>
          <w:color w:val="000000"/>
          <w:sz w:val="22"/>
        </w:rPr>
        <w:t>Universal search command palette and full results page.</w:t>
      </w:r>
    </w:p>
    <w:p>
      <w:pPr>
        <w:pStyle w:val="ListBullet"/>
        <w:keepLines/>
        <w:spacing w:after="80" w:line="276" w:lineRule="auto"/>
        <w:ind w:left="720" w:hanging="360"/>
      </w:pPr>
      <w:r>
        <w:rPr>
          <w:rFonts w:ascii="Arial" w:hAnsi="Arial"/>
          <w:b w:val="0"/>
          <w:i w:val="0"/>
          <w:color w:val="000000"/>
          <w:sz w:val="22"/>
        </w:rPr>
        <w:t>Vendor-owned category and template management under an Advanced navigation group.</w:t>
      </w:r>
    </w:p>
    <w:p>
      <w:pPr>
        <w:pStyle w:val="ListBullet"/>
        <w:keepLines/>
        <w:spacing w:after="80" w:line="276" w:lineRule="auto"/>
        <w:ind w:left="720" w:hanging="360"/>
      </w:pPr>
      <w:r>
        <w:rPr>
          <w:rFonts w:ascii="Arial" w:hAnsi="Arial"/>
          <w:b w:val="0"/>
          <w:i w:val="0"/>
          <w:color w:val="000000"/>
          <w:sz w:val="22"/>
        </w:rPr>
        <w:t>Version-aware CSV import/export for files up to 5 MB or 1,000 rows.</w:t>
      </w:r>
    </w:p>
    <w:p>
      <w:pPr>
        <w:pStyle w:val="ListBullet"/>
        <w:keepLines/>
        <w:spacing w:after="80" w:line="276" w:lineRule="auto"/>
        <w:ind w:left="720" w:hanging="360"/>
      </w:pPr>
      <w:r>
        <w:rPr>
          <w:rFonts w:ascii="Arial" w:hAnsi="Arial"/>
          <w:b w:val="0"/>
          <w:i w:val="0"/>
          <w:color w:val="000000"/>
          <w:sz w:val="22"/>
        </w:rPr>
        <w:t>Cloudflare R2 media behavior already established in Phase 0.</w:t>
      </w:r>
    </w:p>
    <w:p>
      <w:pPr>
        <w:pStyle w:val="ListBullet"/>
        <w:keepLines/>
        <w:spacing w:after="80" w:line="276" w:lineRule="auto"/>
        <w:ind w:left="720" w:hanging="360"/>
      </w:pPr>
      <w:r>
        <w:rPr>
          <w:rFonts w:ascii="Arial" w:hAnsi="Arial"/>
          <w:b w:val="0"/>
          <w:i w:val="0"/>
          <w:color w:val="000000"/>
          <w:sz w:val="22"/>
        </w:rPr>
        <w:t>Prisma 7 with the PostgreSQL driver adapter and an explicit generated client.</w:t>
      </w:r>
    </w:p>
    <w:p>
      <w:pPr>
        <w:pStyle w:val="ListBullet"/>
        <w:keepLines/>
        <w:spacing w:after="80" w:line="276" w:lineRule="auto"/>
        <w:ind w:left="720" w:hanging="360"/>
      </w:pPr>
      <w:r>
        <w:rPr>
          <w:rFonts w:ascii="Arial" w:hAnsi="Arial"/>
          <w:b w:val="0"/>
          <w:i w:val="0"/>
          <w:color w:val="000000"/>
          <w:sz w:val="22"/>
        </w:rPr>
        <w:t>Better Auth email/password authentication, verification, reset, MFA, recovery codes, and revocable sessions.</w:t>
      </w:r>
    </w:p>
    <w:p>
      <w:pPr>
        <w:pStyle w:val="ListBullet"/>
        <w:keepLines/>
        <w:spacing w:after="80" w:line="276" w:lineRule="auto"/>
        <w:ind w:left="720" w:hanging="360"/>
      </w:pPr>
      <w:r>
        <w:rPr>
          <w:rFonts w:ascii="Arial" w:hAnsi="Arial"/>
          <w:b w:val="0"/>
          <w:i w:val="0"/>
          <w:color w:val="000000"/>
          <w:sz w:val="22"/>
        </w:rPr>
        <w:t>Organizations, Owner and Member memberships, invitations, Vendor Portal subscriptions, and per-member Vendor Portal access.</w:t>
      </w:r>
    </w:p>
    <w:p>
      <w:pPr>
        <w:pStyle w:val="ListBullet"/>
        <w:keepLines/>
        <w:spacing w:after="80" w:line="276" w:lineRule="auto"/>
        <w:ind w:left="720" w:hanging="360"/>
      </w:pPr>
      <w:r>
        <w:rPr>
          <w:rFonts w:ascii="Arial" w:hAnsi="Arial"/>
          <w:b w:val="0"/>
          <w:i w:val="0"/>
          <w:color w:val="000000"/>
          <w:sz w:val="22"/>
        </w:rPr>
        <w:t>A primary Vendor Profile that is distinct from the Organization and owns products, versions, categories, templates, media, and import/export activity.</w:t>
      </w:r>
    </w:p>
    <w:p>
      <w:pPr>
        <w:pStyle w:val="Heading3"/>
      </w:pPr>
      <w:r>
        <w:rPr>
          <w:rFonts w:ascii="Arial" w:hAnsi="Arial"/>
          <w:b w:val="0"/>
          <w:i w:val="0"/>
          <w:color w:val="434343"/>
          <w:sz w:val="28"/>
        </w:rPr>
        <w:t>Deferred</w:t>
      </w:r>
    </w:p>
    <w:p>
      <w:pPr>
        <w:pStyle w:val="ListBullet"/>
        <w:keepLines/>
        <w:spacing w:after="80" w:line="276" w:lineRule="auto"/>
        <w:ind w:left="720" w:hanging="360"/>
      </w:pPr>
      <w:r>
        <w:rPr>
          <w:rFonts w:ascii="Arial" w:hAnsi="Arial"/>
          <w:b w:val="0"/>
          <w:i w:val="0"/>
          <w:color w:val="000000"/>
          <w:sz w:val="22"/>
        </w:rPr>
        <w:t>Inventory management portal and stock ledger.</w:t>
      </w:r>
    </w:p>
    <w:p>
      <w:pPr>
        <w:pStyle w:val="ListBullet"/>
        <w:keepLines/>
        <w:spacing w:after="80" w:line="276" w:lineRule="auto"/>
        <w:ind w:left="720" w:hanging="360"/>
      </w:pPr>
      <w:r>
        <w:rPr>
          <w:rFonts w:ascii="Arial" w:hAnsi="Arial"/>
          <w:b w:val="0"/>
          <w:i w:val="0"/>
          <w:color w:val="000000"/>
          <w:sz w:val="22"/>
        </w:rPr>
        <w:t>Immutable edit revision history.</w:t>
      </w:r>
    </w:p>
    <w:p>
      <w:pPr>
        <w:pStyle w:val="ListBullet"/>
        <w:keepLines/>
        <w:spacing w:after="80" w:line="276" w:lineRule="auto"/>
        <w:ind w:left="720" w:hanging="360"/>
      </w:pPr>
      <w:r>
        <w:rPr>
          <w:rFonts w:ascii="Arial" w:hAnsi="Arial"/>
          <w:b w:val="0"/>
          <w:i w:val="0"/>
          <w:color w:val="000000"/>
          <w:sz w:val="22"/>
        </w:rPr>
        <w:t>Product family variant matrices for size/color combinations beyond sellable versions.</w:t>
      </w:r>
    </w:p>
    <w:p>
      <w:pPr>
        <w:pStyle w:val="ListBullet"/>
        <w:keepLines/>
        <w:spacing w:after="80" w:line="276" w:lineRule="auto"/>
        <w:ind w:left="720" w:hanging="360"/>
      </w:pPr>
      <w:r>
        <w:rPr>
          <w:rFonts w:ascii="Arial" w:hAnsi="Arial"/>
          <w:b w:val="0"/>
          <w:i w:val="0"/>
          <w:color w:val="000000"/>
          <w:sz w:val="22"/>
        </w:rPr>
        <w:t>Custom job roles, granular inventory permissions, SSO, SCIM, and enterprise directory synchronization.</w:t>
      </w:r>
    </w:p>
    <w:p>
      <w:pPr>
        <w:pStyle w:val="ListBullet"/>
        <w:keepLines/>
        <w:spacing w:after="80" w:line="276" w:lineRule="auto"/>
        <w:ind w:left="720" w:hanging="360"/>
      </w:pPr>
      <w:r>
        <w:rPr>
          <w:rFonts w:ascii="Arial" w:hAnsi="Arial"/>
          <w:b w:val="0"/>
          <w:i w:val="0"/>
          <w:color w:val="000000"/>
          <w:sz w:val="22"/>
        </w:rPr>
        <w:t>Subscription billing, plans, checkout, invoices, taxation, and payment-provider webhooks.</w:t>
      </w:r>
    </w:p>
    <w:p>
      <w:pPr>
        <w:pStyle w:val="ListBullet"/>
        <w:keepLines/>
        <w:spacing w:after="80" w:line="276" w:lineRule="auto"/>
        <w:ind w:left="720" w:hanging="360"/>
      </w:pPr>
      <w:r>
        <w:rPr>
          <w:rFonts w:ascii="Arial" w:hAnsi="Arial"/>
          <w:b w:val="0"/>
          <w:i w:val="0"/>
          <w:color w:val="000000"/>
          <w:sz w:val="22"/>
        </w:rPr>
        <w:t>Multiple active Vendor Profiles per Organization and profile-switching UI.</w:t>
      </w:r>
    </w:p>
    <w:p>
      <w:pPr>
        <w:pStyle w:val="ListBullet"/>
        <w:keepLines/>
        <w:spacing w:after="80" w:line="276" w:lineRule="auto"/>
        <w:ind w:left="720" w:hanging="360"/>
      </w:pPr>
      <w:r>
        <w:rPr>
          <w:rFonts w:ascii="Arial" w:hAnsi="Arial"/>
          <w:b w:val="0"/>
          <w:i w:val="0"/>
          <w:color w:val="000000"/>
          <w:sz w:val="22"/>
        </w:rPr>
        <w:t>Brand verification, moderation, publication review, canonical merge workflows, and retailer adoption.</w:t>
      </w:r>
    </w:p>
    <w:p>
      <w:pPr>
        <w:pStyle w:val="ListBullet"/>
        <w:keepLines/>
        <w:spacing w:after="80" w:line="276" w:lineRule="auto"/>
        <w:ind w:left="720" w:hanging="360"/>
      </w:pPr>
      <w:r>
        <w:rPr>
          <w:rFonts w:ascii="Arial" w:hAnsi="Arial"/>
          <w:b w:val="0"/>
          <w:i w:val="0"/>
          <w:color w:val="000000"/>
          <w:sz w:val="22"/>
        </w:rPr>
        <w:t>Asynchronous spreadsheet jobs, SFTP, ERP/PIM connectors, public APIs, and webhooks.</w:t>
      </w:r>
    </w:p>
    <w:p>
      <w:pPr>
        <w:pStyle w:val="ListBullet"/>
        <w:keepLines/>
        <w:spacing w:after="80" w:line="276" w:lineRule="auto"/>
        <w:ind w:left="720" w:hanging="360"/>
      </w:pPr>
      <w:r>
        <w:rPr>
          <w:rFonts w:ascii="Arial" w:hAnsi="Arial"/>
          <w:b w:val="0"/>
          <w:i w:val="0"/>
          <w:color w:val="000000"/>
          <w:sz w:val="22"/>
        </w:rPr>
        <w:t>OpenSearch, analytics warehouse, and microservice extraction.</w:t>
      </w:r>
    </w:p>
    <w:p>
      <w:pPr>
        <w:pStyle w:val="Heading2"/>
      </w:pPr>
      <w:r>
        <w:rPr>
          <w:rFonts w:ascii="Arial" w:hAnsi="Arial"/>
          <w:b w:val="0"/>
          <w:i w:val="0"/>
          <w:color w:val="000000"/>
          <w:sz w:val="32"/>
        </w:rPr>
        <w:t>4. Current implementation baseline</w:t>
      </w:r>
    </w:p>
    <w:p>
      <w:pPr>
        <w:keepLines/>
        <w:spacing w:before="0" w:after="160" w:line="276" w:lineRule="auto"/>
      </w:pPr>
      <w:r>
        <w:rPr>
          <w:rFonts w:ascii="Arial" w:hAnsi="Arial"/>
          <w:b w:val="0"/>
          <w:i w:val="0"/>
          <w:color w:val="000000"/>
          <w:sz w:val="22"/>
        </w:rPr>
        <w:t xml:space="preserve">Phase 0 already provides aligned portal/API contracts, cookie sessions with revocation, validated runtime configuration, tenant-scoped category writes, dedicated image/CSV middleware, Cloudflare R2 and local storage drivers, probes, request IDs, CI, repaired tests, and setup documentation. Product roadmap stages 00 through 09 are merged on the remote </w:t>
      </w:r>
      <w:r>
        <w:rPr>
          <w:rFonts w:ascii="Arial" w:hAnsi="Arial"/>
          <w:b w:val="0"/>
          <w:i w:val="0"/>
          <w:color w:val="000000"/>
          <w:sz w:val="22"/>
        </w:rPr>
        <w:t>develop</w:t>
      </w:r>
      <w:r>
        <w:rPr>
          <w:rFonts w:ascii="Arial" w:hAnsi="Arial"/>
          <w:b w:val="0"/>
          <w:i w:val="0"/>
          <w:color w:val="000000"/>
          <w:sz w:val="22"/>
        </w:rPr>
        <w:t xml:space="preserve"> branch.</w:t>
      </w:r>
    </w:p>
    <w:p>
      <w:pPr>
        <w:keepLines/>
        <w:spacing w:before="0" w:after="160" w:line="276" w:lineRule="auto"/>
      </w:pPr>
      <w:r>
        <w:rPr>
          <w:rFonts w:ascii="Arial" w:hAnsi="Arial"/>
          <w:b w:val="0"/>
          <w:i w:val="0"/>
          <w:color w:val="000000"/>
          <w:sz w:val="22"/>
        </w:rPr>
        <w:t xml:space="preserve">Two newer frontend architecture commits on </w:t>
      </w:r>
      <w:r>
        <w:rPr>
          <w:rFonts w:ascii="Arial" w:hAnsi="Arial"/>
          <w:b w:val="0"/>
          <w:i w:val="0"/>
          <w:color w:val="000000"/>
          <w:sz w:val="22"/>
        </w:rPr>
        <w:t>main</w:t>
      </w:r>
      <w:r>
        <w:rPr>
          <w:rFonts w:ascii="Arial" w:hAnsi="Arial"/>
          <w:b w:val="0"/>
          <w:i w:val="0"/>
          <w:color w:val="000000"/>
          <w:sz w:val="22"/>
        </w:rPr>
        <w:t xml:space="preserve"> add TanStack Query, TanStack Form, shared Zod contracts, smaller feature components, a same-origin Next.js BFF, and Storybook. The final release begins by reconciling those commits with the merged vendor history. The unfinished Stage 10 worktree is preserved as evidence but is not treated as completed release work.</w:t>
      </w:r>
    </w:p>
    <w:p>
      <w:pPr>
        <w:keepLines/>
        <w:spacing w:before="0" w:after="160" w:line="276" w:lineRule="auto"/>
      </w:pPr>
      <w:r>
        <w:rPr>
          <w:rFonts w:ascii="Arial" w:hAnsi="Arial"/>
          <w:b w:val="0"/>
          <w:i w:val="0"/>
          <w:color w:val="000000"/>
          <w:sz w:val="22"/>
        </w:rPr>
        <w:t>The remaining platform and release gaps are concrete:</w:t>
      </w:r>
    </w:p>
    <w:p>
      <w:pPr>
        <w:pStyle w:val="ListBullet"/>
        <w:keepLines/>
        <w:spacing w:after="80" w:line="276" w:lineRule="auto"/>
        <w:ind w:left="720" w:hanging="360"/>
      </w:pPr>
      <w:r>
        <w:rPr>
          <w:rFonts w:ascii="Arial" w:hAnsi="Arial"/>
          <w:b w:val="0"/>
          <w:i w:val="0"/>
          <w:color w:val="000000"/>
          <w:sz w:val="22"/>
        </w:rPr>
        <w:t xml:space="preserve">The repository has divergent </w:t>
      </w:r>
      <w:r>
        <w:rPr>
          <w:rFonts w:ascii="Courier New" w:hAnsi="Courier New"/>
          <w:b w:val="0"/>
          <w:i w:val="0"/>
          <w:color w:val="000000"/>
          <w:sz w:val="20"/>
        </w:rPr>
        <w:t>main</w:t>
      </w:r>
      <w:r>
        <w:rPr>
          <w:rFonts w:ascii="Arial" w:hAnsi="Arial"/>
          <w:b w:val="0"/>
          <w:i w:val="0"/>
          <w:color w:val="000000"/>
          <w:sz w:val="22"/>
        </w:rPr>
        <w:t xml:space="preserve"> and </w:t>
      </w:r>
      <w:r>
        <w:rPr>
          <w:rFonts w:ascii="Courier New" w:hAnsi="Courier New"/>
          <w:b w:val="0"/>
          <w:i w:val="0"/>
          <w:color w:val="000000"/>
          <w:sz w:val="20"/>
        </w:rPr>
        <w:t>develop</w:t>
      </w:r>
      <w:r>
        <w:rPr>
          <w:rFonts w:ascii="Arial" w:hAnsi="Arial"/>
          <w:b w:val="0"/>
          <w:i w:val="0"/>
          <w:color w:val="000000"/>
          <w:sz w:val="22"/>
        </w:rPr>
        <w:t xml:space="preserve"> histories that must be reconciled before further feature work.</w:t>
      </w:r>
    </w:p>
    <w:p>
      <w:pPr>
        <w:pStyle w:val="ListBullet"/>
        <w:keepLines/>
        <w:spacing w:after="80" w:line="276" w:lineRule="auto"/>
        <w:ind w:left="720" w:hanging="360"/>
      </w:pPr>
      <w:r>
        <w:rPr>
          <w:rFonts w:ascii="Arial" w:hAnsi="Arial"/>
          <w:b w:val="0"/>
          <w:i w:val="0"/>
          <w:color w:val="000000"/>
          <w:sz w:val="22"/>
        </w:rPr>
        <w:t>Prisma 5 uses the pre-Prisma-7 client and datasource configuration.</w:t>
      </w:r>
    </w:p>
    <w:p>
      <w:pPr>
        <w:pStyle w:val="ListBullet"/>
        <w:keepLines/>
        <w:spacing w:after="80" w:line="276" w:lineRule="auto"/>
        <w:ind w:left="720" w:hanging="360"/>
      </w:pPr>
      <w:r>
        <w:rPr>
          <w:rFonts w:ascii="Arial" w:hAnsi="Arial"/>
          <w:b w:val="0"/>
          <w:i w:val="0"/>
          <w:color w:val="000000"/>
          <w:sz w:val="22"/>
        </w:rPr>
        <w:t>The Vendor record still combines a person, authentication credentials, tenant identity, and producer profile.</w:t>
      </w:r>
    </w:p>
    <w:p>
      <w:pPr>
        <w:pStyle w:val="ListBullet"/>
        <w:keepLines/>
        <w:spacing w:after="80" w:line="276" w:lineRule="auto"/>
        <w:ind w:left="720" w:hanging="360"/>
      </w:pPr>
      <w:r>
        <w:rPr>
          <w:rFonts w:ascii="Arial" w:hAnsi="Arial"/>
          <w:b w:val="0"/>
          <w:i w:val="0"/>
          <w:color w:val="000000"/>
          <w:sz w:val="22"/>
        </w:rPr>
        <w:t>The handwritten authentication implementation does not provide organization membership, invitations, MFA, or portal entitlements.</w:t>
      </w:r>
    </w:p>
    <w:p>
      <w:pPr>
        <w:pStyle w:val="ListBullet"/>
        <w:keepLines/>
        <w:spacing w:after="80" w:line="276" w:lineRule="auto"/>
        <w:ind w:left="720" w:hanging="360"/>
      </w:pPr>
      <w:r>
        <w:rPr>
          <w:rFonts w:ascii="Arial" w:hAnsi="Arial"/>
          <w:b w:val="0"/>
          <w:i w:val="0"/>
          <w:color w:val="000000"/>
          <w:sz w:val="22"/>
        </w:rPr>
        <w:t xml:space="preserve">Catalog ownership is expressed as </w:t>
      </w:r>
      <w:r>
        <w:rPr>
          <w:rFonts w:ascii="Courier New" w:hAnsi="Courier New"/>
          <w:b w:val="0"/>
          <w:i w:val="0"/>
          <w:color w:val="000000"/>
          <w:sz w:val="20"/>
        </w:rPr>
        <w:t>vendorId</w:t>
      </w:r>
      <w:r>
        <w:rPr>
          <w:rFonts w:ascii="Arial" w:hAnsi="Arial"/>
          <w:b w:val="0"/>
          <w:i w:val="0"/>
          <w:color w:val="000000"/>
          <w:sz w:val="22"/>
        </w:rPr>
        <w:t xml:space="preserve"> instead of the explicit Vendor Profile boundary.</w:t>
      </w:r>
    </w:p>
    <w:p>
      <w:pPr>
        <w:pStyle w:val="ListBullet"/>
        <w:keepLines/>
        <w:spacing w:after="80" w:line="276" w:lineRule="auto"/>
        <w:ind w:left="720" w:hanging="360"/>
      </w:pPr>
      <w:r>
        <w:rPr>
          <w:rFonts w:ascii="Arial" w:hAnsi="Arial"/>
          <w:b w:val="0"/>
          <w:i w:val="0"/>
          <w:color w:val="000000"/>
          <w:sz w:val="22"/>
        </w:rPr>
        <w:t>Stage 10 migration, R2, search, browser, accessibility, and release evidence is incomplete.</w:t>
      </w:r>
    </w:p>
    <w:p>
      <w:pPr>
        <w:pStyle w:val="Heading2"/>
      </w:pPr>
      <w:r>
        <w:rPr>
          <w:rFonts w:ascii="Arial" w:hAnsi="Arial"/>
          <w:b w:val="0"/>
          <w:i w:val="0"/>
          <w:color w:val="000000"/>
          <w:sz w:val="32"/>
        </w:rPr>
        <w:t>5. Target navigation and quick-create experience</w:t>
      </w:r>
    </w:p>
    <w:p>
      <w:pPr>
        <w:pStyle w:val="Heading3"/>
      </w:pPr>
      <w:r>
        <w:rPr>
          <w:rFonts w:ascii="Arial" w:hAnsi="Arial"/>
          <w:b w:val="0"/>
          <w:i w:val="0"/>
          <w:color w:val="434343"/>
          <w:sz w:val="28"/>
        </w:rPr>
        <w:t>Header</w:t>
      </w:r>
    </w:p>
    <w:p>
      <w:pPr>
        <w:keepLines/>
        <w:spacing w:before="0" w:after="160" w:line="276" w:lineRule="auto"/>
      </w:pPr>
      <w:r>
        <w:rPr>
          <w:rFonts w:ascii="Arial" w:hAnsi="Arial"/>
          <w:b w:val="0"/>
          <w:i w:val="0"/>
          <w:color w:val="000000"/>
          <w:sz w:val="22"/>
        </w:rPr>
        <w:t>Replace the prominent authentication badge with a universal-search trigger. Keep a circular plus button on the right side of the header.</w:t>
      </w:r>
    </w:p>
    <w:p>
      <w:pPr>
        <w:pStyle w:val="Heading3"/>
      </w:pPr>
      <w:r>
        <w:rPr>
          <w:rFonts w:ascii="Arial" w:hAnsi="Arial"/>
          <w:b w:val="0"/>
          <w:i w:val="0"/>
          <w:color w:val="434343"/>
          <w:sz w:val="28"/>
        </w:rPr>
        <w:t>Quick-create menu</w:t>
      </w:r>
    </w:p>
    <w:p>
      <w:pPr>
        <w:keepLines/>
        <w:spacing w:before="0" w:after="160" w:line="276" w:lineRule="auto"/>
      </w:pPr>
      <w:r>
        <w:rPr>
          <w:rFonts w:ascii="Arial" w:hAnsi="Arial"/>
          <w:b w:val="0"/>
          <w:i w:val="0"/>
          <w:color w:val="000000"/>
          <w:sz w:val="22"/>
        </w:rPr>
        <w:t xml:space="preserve">The plus button opens a shared </w:t>
      </w:r>
      <w:r>
        <w:rPr>
          <w:rFonts w:ascii="Arial" w:hAnsi="Arial"/>
          <w:b w:val="0"/>
          <w:i w:val="0"/>
          <w:color w:val="000000"/>
          <w:sz w:val="22"/>
        </w:rPr>
        <w:t>QuickCreateMenu</w:t>
      </w:r>
      <w:r>
        <w:rPr>
          <w:rFonts w:ascii="Arial" w:hAnsi="Arial"/>
          <w:b w:val="0"/>
          <w:i w:val="0"/>
          <w:color w:val="000000"/>
          <w:sz w:val="22"/>
        </w:rPr>
        <w:t>:</w:t>
      </w:r>
    </w:p>
    <w:p>
      <w:pPr>
        <w:pStyle w:val="ListBullet"/>
        <w:keepLines/>
        <w:spacing w:after="80" w:line="276" w:lineRule="auto"/>
        <w:ind w:left="720" w:hanging="360"/>
      </w:pPr>
      <w:r>
        <w:rPr>
          <w:rFonts w:ascii="Arial" w:hAnsi="Arial"/>
          <w:b w:val="0"/>
          <w:i w:val="0"/>
          <w:color w:val="000000"/>
          <w:sz w:val="22"/>
        </w:rPr>
        <w:t>Add Product is a large full-width primary action with an icon and description.</w:t>
      </w:r>
    </w:p>
    <w:p>
      <w:pPr>
        <w:pStyle w:val="ListBullet"/>
        <w:keepLines/>
        <w:spacing w:after="80" w:line="276" w:lineRule="auto"/>
        <w:ind w:left="720" w:hanging="360"/>
      </w:pPr>
      <w:r>
        <w:rPr>
          <w:rFonts w:ascii="Arial" w:hAnsi="Arial"/>
          <w:b w:val="0"/>
          <w:i w:val="0"/>
          <w:color w:val="000000"/>
          <w:sz w:val="22"/>
        </w:rPr>
        <w:t>Add Template and Add Category are smaller secondary actions below it.</w:t>
      </w:r>
    </w:p>
    <w:p>
      <w:pPr>
        <w:pStyle w:val="ListBullet"/>
        <w:keepLines/>
        <w:spacing w:after="80" w:line="276" w:lineRule="auto"/>
        <w:ind w:left="720" w:hanging="360"/>
      </w:pPr>
      <w:r>
        <w:rPr>
          <w:rFonts w:ascii="Arial" w:hAnsi="Arial"/>
          <w:b w:val="0"/>
          <w:i w:val="0"/>
          <w:color w:val="000000"/>
          <w:sz w:val="22"/>
        </w:rPr>
        <w:t>Desktop opens an anchored popup below the header button.</w:t>
      </w:r>
    </w:p>
    <w:p>
      <w:pPr>
        <w:pStyle w:val="ListBullet"/>
        <w:keepLines/>
        <w:spacing w:after="80" w:line="276" w:lineRule="auto"/>
        <w:ind w:left="720" w:hanging="360"/>
      </w:pPr>
      <w:r>
        <w:rPr>
          <w:rFonts w:ascii="Arial" w:hAnsi="Arial"/>
          <w:b w:val="0"/>
          <w:i w:val="0"/>
          <w:color w:val="000000"/>
          <w:sz w:val="22"/>
        </w:rPr>
        <w:t>Mobile keeps the fixed bottom-right plus button and opens the menu upward or as a compact bottom sheet.</w:t>
      </w:r>
    </w:p>
    <w:p>
      <w:pPr>
        <w:pStyle w:val="ListBullet"/>
        <w:keepLines/>
        <w:spacing w:after="80" w:line="276" w:lineRule="auto"/>
        <w:ind w:left="720" w:hanging="360"/>
      </w:pPr>
      <w:r>
        <w:rPr>
          <w:rFonts w:ascii="Arial" w:hAnsi="Arial"/>
          <w:b w:val="0"/>
          <w:i w:val="0"/>
          <w:color w:val="000000"/>
          <w:sz w:val="22"/>
        </w:rPr>
        <w:t>Outside click, Escape, route navigation, or action selection closes the menu.</w:t>
      </w:r>
    </w:p>
    <w:p>
      <w:pPr>
        <w:pStyle w:val="ListBullet"/>
        <w:keepLines/>
        <w:spacing w:after="80" w:line="276" w:lineRule="auto"/>
        <w:ind w:left="720" w:hanging="360"/>
      </w:pPr>
      <w:r>
        <w:rPr>
          <w:rFonts w:ascii="Arial" w:hAnsi="Arial"/>
          <w:b w:val="0"/>
          <w:i w:val="0"/>
          <w:color w:val="000000"/>
          <w:sz w:val="22"/>
        </w:rPr>
        <w:t>Focus returns to the plus button after dismissal.</w:t>
      </w:r>
    </w:p>
    <w:p>
      <w:pPr>
        <w:keepLines/>
        <w:spacing w:before="0" w:after="160" w:line="276" w:lineRule="auto"/>
      </w:pPr>
      <w:r>
        <w:rPr>
          <w:rFonts w:ascii="Arial" w:hAnsi="Arial"/>
          <w:b w:val="0"/>
          <w:i w:val="0"/>
          <w:color w:val="000000"/>
          <w:sz w:val="22"/>
        </w:rPr>
        <w:t>Routes:</w:t>
      </w:r>
    </w:p>
    <w:p>
      <w:pPr>
        <w:pStyle w:val="ListBullet"/>
        <w:keepLines/>
        <w:spacing w:after="80" w:line="276" w:lineRule="auto"/>
        <w:ind w:left="720" w:hanging="360"/>
      </w:pPr>
      <w:r>
        <w:rPr>
          <w:rFonts w:ascii="Arial" w:hAnsi="Arial"/>
          <w:b w:val="0"/>
          <w:i w:val="0"/>
          <w:color w:val="000000"/>
          <w:sz w:val="22"/>
        </w:rPr>
        <w:t xml:space="preserve">Add Product: </w:t>
      </w:r>
      <w:r>
        <w:rPr>
          <w:rFonts w:ascii="Courier New" w:hAnsi="Courier New"/>
          <w:b w:val="0"/>
          <w:i w:val="0"/>
          <w:color w:val="000000"/>
          <w:sz w:val="20"/>
        </w:rPr>
        <w:t>/dashboard/products/new</w:t>
      </w:r>
    </w:p>
    <w:p>
      <w:pPr>
        <w:pStyle w:val="ListBullet"/>
        <w:keepLines/>
        <w:spacing w:after="80" w:line="276" w:lineRule="auto"/>
        <w:ind w:left="720" w:hanging="360"/>
      </w:pPr>
      <w:r>
        <w:rPr>
          <w:rFonts w:ascii="Arial" w:hAnsi="Arial"/>
          <w:b w:val="0"/>
          <w:i w:val="0"/>
          <w:color w:val="000000"/>
          <w:sz w:val="22"/>
        </w:rPr>
        <w:t xml:space="preserve">Add Template: </w:t>
      </w:r>
      <w:r>
        <w:rPr>
          <w:rFonts w:ascii="Courier New" w:hAnsi="Courier New"/>
          <w:b w:val="0"/>
          <w:i w:val="0"/>
          <w:color w:val="000000"/>
          <w:sz w:val="20"/>
        </w:rPr>
        <w:t>/dashboard/templates?create=true</w:t>
      </w:r>
    </w:p>
    <w:p>
      <w:pPr>
        <w:pStyle w:val="ListBullet"/>
        <w:keepLines/>
        <w:spacing w:after="80" w:line="276" w:lineRule="auto"/>
        <w:ind w:left="720" w:hanging="360"/>
      </w:pPr>
      <w:r>
        <w:rPr>
          <w:rFonts w:ascii="Arial" w:hAnsi="Arial"/>
          <w:b w:val="0"/>
          <w:i w:val="0"/>
          <w:color w:val="000000"/>
          <w:sz w:val="22"/>
        </w:rPr>
        <w:t xml:space="preserve">Add Category: </w:t>
      </w:r>
      <w:r>
        <w:rPr>
          <w:rFonts w:ascii="Courier New" w:hAnsi="Courier New"/>
          <w:b w:val="0"/>
          <w:i w:val="0"/>
          <w:color w:val="000000"/>
          <w:sz w:val="20"/>
        </w:rPr>
        <w:t>/dashboard/categories?create=true</w:t>
      </w:r>
    </w:p>
    <w:p>
      <w:pPr>
        <w:keepLines/>
        <w:spacing w:before="0" w:after="160" w:line="276" w:lineRule="auto"/>
      </w:pPr>
      <w:r>
        <w:rPr>
          <w:rFonts w:ascii="Arial" w:hAnsi="Arial"/>
          <w:b w:val="0"/>
          <w:i w:val="0"/>
          <w:color w:val="000000"/>
          <w:sz w:val="22"/>
        </w:rPr>
        <w:t>The menu must support keyboard navigation, accessible labels, focus management, and responsive layouts.</w:t>
      </w:r>
    </w:p>
    <w:p>
      <w:pPr>
        <w:pStyle w:val="Heading2"/>
      </w:pPr>
      <w:r>
        <w:rPr>
          <w:rFonts w:ascii="Arial" w:hAnsi="Arial"/>
          <w:b w:val="0"/>
          <w:i w:val="0"/>
          <w:color w:val="000000"/>
          <w:sz w:val="32"/>
        </w:rPr>
        <w:t>6. System category library</w:t>
      </w:r>
    </w:p>
    <w:p>
      <w:pPr>
        <w:keepLines/>
        <w:spacing w:before="0" w:after="160" w:line="276" w:lineRule="auto"/>
      </w:pPr>
      <w:r>
        <w:rPr>
          <w:rFonts w:ascii="Arial" w:hAnsi="Arial"/>
          <w:b w:val="0"/>
          <w:i w:val="0"/>
          <w:color w:val="000000"/>
          <w:sz w:val="22"/>
        </w:rPr>
        <w:t xml:space="preserve">Seed exactly 126 system categories: 14 roots and eight selectable children per root. Every root includes an Other fallback. System categories use </w:t>
      </w:r>
      <w:r>
        <w:rPr>
          <w:rFonts w:ascii="Arial" w:hAnsi="Arial"/>
          <w:b w:val="0"/>
          <w:i w:val="0"/>
          <w:color w:val="000000"/>
          <w:sz w:val="22"/>
        </w:rPr>
        <w:t>vendorId = null</w:t>
      </w:r>
      <w:r>
        <w:rPr>
          <w:rFonts w:ascii="Arial" w:hAnsi="Arial"/>
          <w:b w:val="0"/>
          <w:i w:val="0"/>
          <w:color w:val="000000"/>
          <w:sz w:val="22"/>
        </w:rPr>
        <w:t>, a stable unique code, aliases, a breadcrumb path, and an optional default template.</w:t>
      </w:r>
    </w:p>
    <w:tbl>
      <w:tblPr>
        <w:tblStyle w:val="TableGrid"/>
        <w:tblW w:type="dxa" w:w="9360"/>
        <w:tblLayout w:type="fixed"/>
        <w:tblLook w:firstColumn="1" w:firstRow="1" w:lastColumn="0" w:lastRow="0" w:noHBand="0" w:noVBand="1" w:val="04A0"/>
        <w:tblBorders>
          <w:top w:val="single" w:sz="2" w:space="0" w:color="DADCE0"/>
          <w:left w:val="single" w:sz="2" w:space="0" w:color="DADCE0"/>
          <w:bottom w:val="single" w:sz="2" w:space="0" w:color="DADCE0"/>
          <w:right w:val="single" w:sz="2" w:space="0" w:color="DADCE0"/>
          <w:insideH w:val="single" w:sz="2" w:space="0" w:color="DADCE0"/>
          <w:insideV w:val="single" w:sz="2" w:space="0" w:color="DADCE0"/>
        </w:tblBorders>
      </w:tblPr>
      <w:tblGrid>
        <w:gridCol w:w="2700"/>
        <w:gridCol w:w="6660"/>
      </w:tblGrid>
      <w:tr>
        <w:trPr>
          <w:tblHeader w:val="true"/>
          <w:cantSplit w:val="true"/>
        </w:trPr>
        <w:tc>
          <w:tcPr>
            <w:tcW w:type="dxa" w:w="2700"/>
            <w:tcMar>
              <w:top w:w="80" w:type="dxa"/>
              <w:start w:w="120" w:type="dxa"/>
              <w:bottom w:w="80" w:type="dxa"/>
              <w:end w:w="120" w:type="dxa"/>
            </w:tcMar>
            <w:vAlign w:val="top"/>
          </w:tcPr>
          <w:p>
            <w:pPr>
              <w:spacing w:before="0" w:after="60" w:line="252" w:lineRule="auto"/>
            </w:pPr>
            <w:r>
              <w:rPr>
                <w:rFonts w:ascii="Arial" w:hAnsi="Arial"/>
                <w:b/>
                <w:i w:val="0"/>
                <w:color w:val="000000"/>
                <w:sz w:val="18"/>
              </w:rPr>
            </w:r>
            <w:r>
              <w:rPr>
                <w:rFonts w:ascii="Arial" w:hAnsi="Arial"/>
                <w:b/>
                <w:i w:val="0"/>
                <w:color w:val="000000"/>
                <w:sz w:val="18"/>
              </w:rPr>
              <w:t>Root</w:t>
            </w:r>
          </w:p>
        </w:tc>
        <w:tc>
          <w:tcPr>
            <w:tcW w:type="dxa" w:w="6660"/>
            <w:tcMar>
              <w:top w:w="80" w:type="dxa"/>
              <w:start w:w="120" w:type="dxa"/>
              <w:bottom w:w="80" w:type="dxa"/>
              <w:end w:w="120" w:type="dxa"/>
            </w:tcMar>
            <w:vAlign w:val="top"/>
          </w:tcPr>
          <w:p>
            <w:pPr>
              <w:spacing w:before="0" w:after="60" w:line="252" w:lineRule="auto"/>
            </w:pPr>
            <w:r>
              <w:rPr>
                <w:rFonts w:ascii="Arial" w:hAnsi="Arial"/>
                <w:b/>
                <w:i w:val="0"/>
                <w:color w:val="000000"/>
                <w:sz w:val="18"/>
              </w:rPr>
            </w:r>
            <w:r>
              <w:rPr>
                <w:rFonts w:ascii="Arial" w:hAnsi="Arial"/>
                <w:b/>
                <w:i w:val="0"/>
                <w:color w:val="000000"/>
                <w:sz w:val="18"/>
              </w:rPr>
              <w:t>Selectable children</w:t>
            </w:r>
          </w:p>
        </w:tc>
      </w:tr>
      <w:tr>
        <w:trPr>
          <w:cantSplit w:val="true"/>
        </w:trPr>
        <w:tc>
          <w:tcPr>
            <w:tcW w:type="dxa" w:w="2700"/>
            <w:tcMar>
              <w:top w:w="80" w:type="dxa"/>
              <w:start w:w="120" w:type="dxa"/>
              <w:bottom w:w="80" w:type="dxa"/>
              <w:end w:w="120" w:type="dxa"/>
            </w:tcMar>
            <w:vAlign w:val="top"/>
          </w:tcPr>
          <w:p>
            <w:pPr>
              <w:spacing w:before="0" w:after="60" w:line="252" w:lineRule="auto"/>
            </w:pPr>
            <w:r>
              <w:rPr>
                <w:rFonts w:ascii="Arial" w:hAnsi="Arial"/>
                <w:b w:val="0"/>
                <w:i w:val="0"/>
                <w:color w:val="000000"/>
                <w:sz w:val="18"/>
              </w:rPr>
            </w:r>
            <w:r>
              <w:rPr>
                <w:rFonts w:ascii="Arial" w:hAnsi="Arial"/>
                <w:b w:val="0"/>
                <w:i w:val="0"/>
                <w:color w:val="000000"/>
                <w:sz w:val="18"/>
              </w:rPr>
              <w:t>Food &amp; Beverage</w:t>
            </w:r>
          </w:p>
        </w:tc>
        <w:tc>
          <w:tcPr>
            <w:tcW w:type="dxa" w:w="6660"/>
            <w:tcMar>
              <w:top w:w="80" w:type="dxa"/>
              <w:start w:w="120" w:type="dxa"/>
              <w:bottom w:w="80" w:type="dxa"/>
              <w:end w:w="120" w:type="dxa"/>
            </w:tcMar>
            <w:vAlign w:val="top"/>
          </w:tcPr>
          <w:p>
            <w:pPr>
              <w:spacing w:before="0" w:after="60" w:line="252" w:lineRule="auto"/>
            </w:pPr>
            <w:r>
              <w:rPr>
                <w:rFonts w:ascii="Arial" w:hAnsi="Arial"/>
                <w:b w:val="0"/>
                <w:i w:val="0"/>
                <w:color w:val="000000"/>
                <w:sz w:val="18"/>
              </w:rPr>
            </w:r>
            <w:r>
              <w:rPr>
                <w:rFonts w:ascii="Arial" w:hAnsi="Arial"/>
                <w:b w:val="0"/>
                <w:i w:val="0"/>
                <w:color w:val="000000"/>
                <w:sz w:val="18"/>
              </w:rPr>
              <w:t>Snacks; Confectionery; Bakery; Pantry &amp; Dry Goods; Fresh &amp; Chilled; Frozen Foods; Beverages; Other Food &amp; Beverage</w:t>
            </w:r>
          </w:p>
        </w:tc>
      </w:tr>
      <w:tr>
        <w:trPr>
          <w:cantSplit w:val="true"/>
        </w:trPr>
        <w:tc>
          <w:tcPr>
            <w:tcW w:type="dxa" w:w="2700"/>
            <w:tcMar>
              <w:top w:w="80" w:type="dxa"/>
              <w:start w:w="120" w:type="dxa"/>
              <w:bottom w:w="80" w:type="dxa"/>
              <w:end w:w="120" w:type="dxa"/>
            </w:tcMar>
            <w:vAlign w:val="top"/>
          </w:tcPr>
          <w:p>
            <w:pPr>
              <w:spacing w:before="0" w:after="60" w:line="252" w:lineRule="auto"/>
            </w:pPr>
            <w:r>
              <w:rPr>
                <w:rFonts w:ascii="Arial" w:hAnsi="Arial"/>
                <w:b w:val="0"/>
                <w:i w:val="0"/>
                <w:color w:val="000000"/>
                <w:sz w:val="18"/>
              </w:rPr>
            </w:r>
            <w:r>
              <w:rPr>
                <w:rFonts w:ascii="Arial" w:hAnsi="Arial"/>
                <w:b w:val="0"/>
                <w:i w:val="0"/>
                <w:color w:val="000000"/>
                <w:sz w:val="18"/>
              </w:rPr>
              <w:t>Clothing &amp; Accessories</w:t>
            </w:r>
          </w:p>
        </w:tc>
        <w:tc>
          <w:tcPr>
            <w:tcW w:type="dxa" w:w="6660"/>
            <w:tcMar>
              <w:top w:w="80" w:type="dxa"/>
              <w:start w:w="120" w:type="dxa"/>
              <w:bottom w:w="80" w:type="dxa"/>
              <w:end w:w="120" w:type="dxa"/>
            </w:tcMar>
            <w:vAlign w:val="top"/>
          </w:tcPr>
          <w:p>
            <w:pPr>
              <w:spacing w:before="0" w:after="60" w:line="252" w:lineRule="auto"/>
            </w:pPr>
            <w:r>
              <w:rPr>
                <w:rFonts w:ascii="Arial" w:hAnsi="Arial"/>
                <w:b w:val="0"/>
                <w:i w:val="0"/>
                <w:color w:val="000000"/>
                <w:sz w:val="18"/>
              </w:rPr>
            </w:r>
            <w:r>
              <w:rPr>
                <w:rFonts w:ascii="Arial" w:hAnsi="Arial"/>
                <w:b w:val="0"/>
                <w:i w:val="0"/>
                <w:color w:val="000000"/>
                <w:sz w:val="18"/>
              </w:rPr>
              <w:t>Tops; Bottoms; Dresses &amp; One-Pieces; Outerwear; Underwear &amp; Sleepwear; Footwear; Bags &amp; Accessories; Other Clothing</w:t>
            </w:r>
          </w:p>
        </w:tc>
      </w:tr>
      <w:tr>
        <w:trPr>
          <w:cantSplit w:val="true"/>
        </w:trPr>
        <w:tc>
          <w:tcPr>
            <w:tcW w:type="dxa" w:w="2700"/>
            <w:tcMar>
              <w:top w:w="80" w:type="dxa"/>
              <w:start w:w="120" w:type="dxa"/>
              <w:bottom w:w="80" w:type="dxa"/>
              <w:end w:w="120" w:type="dxa"/>
            </w:tcMar>
            <w:vAlign w:val="top"/>
          </w:tcPr>
          <w:p>
            <w:pPr>
              <w:spacing w:before="0" w:after="60" w:line="252" w:lineRule="auto"/>
            </w:pPr>
            <w:r>
              <w:rPr>
                <w:rFonts w:ascii="Arial" w:hAnsi="Arial"/>
                <w:b w:val="0"/>
                <w:i w:val="0"/>
                <w:color w:val="000000"/>
                <w:sz w:val="18"/>
              </w:rPr>
            </w:r>
            <w:r>
              <w:rPr>
                <w:rFonts w:ascii="Arial" w:hAnsi="Arial"/>
                <w:b w:val="0"/>
                <w:i w:val="0"/>
                <w:color w:val="000000"/>
                <w:sz w:val="18"/>
              </w:rPr>
              <w:t>Beauty &amp; Personal Care</w:t>
            </w:r>
          </w:p>
        </w:tc>
        <w:tc>
          <w:tcPr>
            <w:tcW w:type="dxa" w:w="6660"/>
            <w:tcMar>
              <w:top w:w="80" w:type="dxa"/>
              <w:start w:w="120" w:type="dxa"/>
              <w:bottom w:w="80" w:type="dxa"/>
              <w:end w:w="120" w:type="dxa"/>
            </w:tcMar>
            <w:vAlign w:val="top"/>
          </w:tcPr>
          <w:p>
            <w:pPr>
              <w:spacing w:before="0" w:after="60" w:line="252" w:lineRule="auto"/>
            </w:pPr>
            <w:r>
              <w:rPr>
                <w:rFonts w:ascii="Arial" w:hAnsi="Arial"/>
                <w:b w:val="0"/>
                <w:i w:val="0"/>
                <w:color w:val="000000"/>
                <w:sz w:val="18"/>
              </w:rPr>
            </w:r>
            <w:r>
              <w:rPr>
                <w:rFonts w:ascii="Arial" w:hAnsi="Arial"/>
                <w:b w:val="0"/>
                <w:i w:val="0"/>
                <w:color w:val="000000"/>
                <w:sz w:val="18"/>
              </w:rPr>
              <w:t>Skincare; Hair Care; Makeup; Fragrance; Bath &amp; Body; Nail Care; Grooming; Other Beauty</w:t>
            </w:r>
          </w:p>
        </w:tc>
      </w:tr>
      <w:tr>
        <w:trPr>
          <w:cantSplit w:val="true"/>
        </w:trPr>
        <w:tc>
          <w:tcPr>
            <w:tcW w:type="dxa" w:w="2700"/>
            <w:tcMar>
              <w:top w:w="80" w:type="dxa"/>
              <w:start w:w="120" w:type="dxa"/>
              <w:bottom w:w="80" w:type="dxa"/>
              <w:end w:w="120" w:type="dxa"/>
            </w:tcMar>
            <w:vAlign w:val="top"/>
          </w:tcPr>
          <w:p>
            <w:pPr>
              <w:spacing w:before="0" w:after="60" w:line="252" w:lineRule="auto"/>
            </w:pPr>
            <w:r>
              <w:rPr>
                <w:rFonts w:ascii="Arial" w:hAnsi="Arial"/>
                <w:b w:val="0"/>
                <w:i w:val="0"/>
                <w:color w:val="000000"/>
                <w:sz w:val="18"/>
              </w:rPr>
            </w:r>
            <w:r>
              <w:rPr>
                <w:rFonts w:ascii="Arial" w:hAnsi="Arial"/>
                <w:b w:val="0"/>
                <w:i w:val="0"/>
                <w:color w:val="000000"/>
                <w:sz w:val="18"/>
              </w:rPr>
              <w:t>Electronics</w:t>
            </w:r>
          </w:p>
        </w:tc>
        <w:tc>
          <w:tcPr>
            <w:tcW w:type="dxa" w:w="6660"/>
            <w:tcMar>
              <w:top w:w="80" w:type="dxa"/>
              <w:start w:w="120" w:type="dxa"/>
              <w:bottom w:w="80" w:type="dxa"/>
              <w:end w:w="120" w:type="dxa"/>
            </w:tcMar>
            <w:vAlign w:val="top"/>
          </w:tcPr>
          <w:p>
            <w:pPr>
              <w:spacing w:before="0" w:after="60" w:line="252" w:lineRule="auto"/>
            </w:pPr>
            <w:r>
              <w:rPr>
                <w:rFonts w:ascii="Arial" w:hAnsi="Arial"/>
                <w:b w:val="0"/>
                <w:i w:val="0"/>
                <w:color w:val="000000"/>
                <w:sz w:val="18"/>
              </w:rPr>
            </w:r>
            <w:r>
              <w:rPr>
                <w:rFonts w:ascii="Arial" w:hAnsi="Arial"/>
                <w:b w:val="0"/>
                <w:i w:val="0"/>
                <w:color w:val="000000"/>
                <w:sz w:val="18"/>
              </w:rPr>
              <w:t>Phones &amp; Tablets; Audio; Cameras; TVs &amp; Displays; Smart Home; Wearables; Gaming Hardware; Other Electronics</w:t>
            </w:r>
          </w:p>
        </w:tc>
      </w:tr>
      <w:tr>
        <w:trPr>
          <w:cantSplit w:val="true"/>
        </w:trPr>
        <w:tc>
          <w:tcPr>
            <w:tcW w:type="dxa" w:w="2700"/>
            <w:tcMar>
              <w:top w:w="80" w:type="dxa"/>
              <w:start w:w="120" w:type="dxa"/>
              <w:bottom w:w="80" w:type="dxa"/>
              <w:end w:w="120" w:type="dxa"/>
            </w:tcMar>
            <w:vAlign w:val="top"/>
          </w:tcPr>
          <w:p>
            <w:pPr>
              <w:spacing w:before="0" w:after="60" w:line="252" w:lineRule="auto"/>
            </w:pPr>
            <w:r>
              <w:rPr>
                <w:rFonts w:ascii="Arial" w:hAnsi="Arial"/>
                <w:b w:val="0"/>
                <w:i w:val="0"/>
                <w:color w:val="000000"/>
                <w:sz w:val="18"/>
              </w:rPr>
            </w:r>
            <w:r>
              <w:rPr>
                <w:rFonts w:ascii="Arial" w:hAnsi="Arial"/>
                <w:b w:val="0"/>
                <w:i w:val="0"/>
                <w:color w:val="000000"/>
                <w:sz w:val="18"/>
              </w:rPr>
              <w:t>Computers &amp; Technology</w:t>
            </w:r>
          </w:p>
        </w:tc>
        <w:tc>
          <w:tcPr>
            <w:tcW w:type="dxa" w:w="6660"/>
            <w:tcMar>
              <w:top w:w="80" w:type="dxa"/>
              <w:start w:w="120" w:type="dxa"/>
              <w:bottom w:w="80" w:type="dxa"/>
              <w:end w:w="120" w:type="dxa"/>
            </w:tcMar>
            <w:vAlign w:val="top"/>
          </w:tcPr>
          <w:p>
            <w:pPr>
              <w:spacing w:before="0" w:after="60" w:line="252" w:lineRule="auto"/>
            </w:pPr>
            <w:r>
              <w:rPr>
                <w:rFonts w:ascii="Arial" w:hAnsi="Arial"/>
                <w:b w:val="0"/>
                <w:i w:val="0"/>
                <w:color w:val="000000"/>
                <w:sz w:val="18"/>
              </w:rPr>
            </w:r>
            <w:r>
              <w:rPr>
                <w:rFonts w:ascii="Arial" w:hAnsi="Arial"/>
                <w:b w:val="0"/>
                <w:i w:val="0"/>
                <w:color w:val="000000"/>
                <w:sz w:val="18"/>
              </w:rPr>
              <w:t>Laptops &amp; Desktops; Components; Storage; Networking; Keyboards &amp; Mice; Printers &amp; Scanners; Cables &amp; Adapters; Other Technology</w:t>
            </w:r>
          </w:p>
        </w:tc>
      </w:tr>
      <w:tr>
        <w:trPr>
          <w:cantSplit w:val="true"/>
        </w:trPr>
        <w:tc>
          <w:tcPr>
            <w:tcW w:type="dxa" w:w="2700"/>
            <w:tcMar>
              <w:top w:w="80" w:type="dxa"/>
              <w:start w:w="120" w:type="dxa"/>
              <w:bottom w:w="80" w:type="dxa"/>
              <w:end w:w="120" w:type="dxa"/>
            </w:tcMar>
            <w:vAlign w:val="top"/>
          </w:tcPr>
          <w:p>
            <w:pPr>
              <w:spacing w:before="0" w:after="60" w:line="252" w:lineRule="auto"/>
            </w:pPr>
            <w:r>
              <w:rPr>
                <w:rFonts w:ascii="Arial" w:hAnsi="Arial"/>
                <w:b w:val="0"/>
                <w:i w:val="0"/>
                <w:color w:val="000000"/>
                <w:sz w:val="18"/>
              </w:rPr>
            </w:r>
            <w:r>
              <w:rPr>
                <w:rFonts w:ascii="Arial" w:hAnsi="Arial"/>
                <w:b w:val="0"/>
                <w:i w:val="0"/>
                <w:color w:val="000000"/>
                <w:sz w:val="18"/>
              </w:rPr>
              <w:t>Home &amp; Kitchen</w:t>
            </w:r>
          </w:p>
        </w:tc>
        <w:tc>
          <w:tcPr>
            <w:tcW w:type="dxa" w:w="6660"/>
            <w:tcMar>
              <w:top w:w="80" w:type="dxa"/>
              <w:start w:w="120" w:type="dxa"/>
              <w:bottom w:w="80" w:type="dxa"/>
              <w:end w:w="120" w:type="dxa"/>
            </w:tcMar>
            <w:vAlign w:val="top"/>
          </w:tcPr>
          <w:p>
            <w:pPr>
              <w:spacing w:before="0" w:after="60" w:line="252" w:lineRule="auto"/>
            </w:pPr>
            <w:r>
              <w:rPr>
                <w:rFonts w:ascii="Arial" w:hAnsi="Arial"/>
                <w:b w:val="0"/>
                <w:i w:val="0"/>
                <w:color w:val="000000"/>
                <w:sz w:val="18"/>
              </w:rPr>
            </w:r>
            <w:r>
              <w:rPr>
                <w:rFonts w:ascii="Arial" w:hAnsi="Arial"/>
                <w:b w:val="0"/>
                <w:i w:val="0"/>
                <w:color w:val="000000"/>
                <w:sz w:val="18"/>
              </w:rPr>
              <w:t>Cookware; Tableware; Small Appliances; Furniture; Bedding &amp; Bath; Home Decor; Cleaning Supplies; Other Home &amp; Kitchen</w:t>
            </w:r>
          </w:p>
        </w:tc>
      </w:tr>
      <w:tr>
        <w:trPr>
          <w:cantSplit w:val="true"/>
        </w:trPr>
        <w:tc>
          <w:tcPr>
            <w:tcW w:type="dxa" w:w="2700"/>
            <w:tcMar>
              <w:top w:w="80" w:type="dxa"/>
              <w:start w:w="120" w:type="dxa"/>
              <w:bottom w:w="80" w:type="dxa"/>
              <w:end w:w="120" w:type="dxa"/>
            </w:tcMar>
            <w:vAlign w:val="top"/>
          </w:tcPr>
          <w:p>
            <w:pPr>
              <w:spacing w:before="0" w:after="60" w:line="252" w:lineRule="auto"/>
            </w:pPr>
            <w:r>
              <w:rPr>
                <w:rFonts w:ascii="Arial" w:hAnsi="Arial"/>
                <w:b w:val="0"/>
                <w:i w:val="0"/>
                <w:color w:val="000000"/>
                <w:sz w:val="18"/>
              </w:rPr>
            </w:r>
            <w:r>
              <w:rPr>
                <w:rFonts w:ascii="Arial" w:hAnsi="Arial"/>
                <w:b w:val="0"/>
                <w:i w:val="0"/>
                <w:color w:val="000000"/>
                <w:sz w:val="18"/>
              </w:rPr>
              <w:t>Arts, Crafts &amp; Handmade</w:t>
            </w:r>
          </w:p>
        </w:tc>
        <w:tc>
          <w:tcPr>
            <w:tcW w:type="dxa" w:w="6660"/>
            <w:tcMar>
              <w:top w:w="80" w:type="dxa"/>
              <w:start w:w="120" w:type="dxa"/>
              <w:bottom w:w="80" w:type="dxa"/>
              <w:end w:w="120" w:type="dxa"/>
            </w:tcMar>
            <w:vAlign w:val="top"/>
          </w:tcPr>
          <w:p>
            <w:pPr>
              <w:spacing w:before="0" w:after="60" w:line="252" w:lineRule="auto"/>
            </w:pPr>
            <w:r>
              <w:rPr>
                <w:rFonts w:ascii="Arial" w:hAnsi="Arial"/>
                <w:b w:val="0"/>
                <w:i w:val="0"/>
                <w:color w:val="000000"/>
                <w:sz w:val="18"/>
              </w:rPr>
            </w:r>
            <w:r>
              <w:rPr>
                <w:rFonts w:ascii="Arial" w:hAnsi="Arial"/>
                <w:b w:val="0"/>
                <w:i w:val="0"/>
                <w:color w:val="000000"/>
                <w:sz w:val="18"/>
              </w:rPr>
              <w:t>Art Supplies; Craft Supplies; Sewing &amp; Textiles; Jewelry; Ceramics; Woodwork; Stationery; Other Handmade</w:t>
            </w:r>
          </w:p>
        </w:tc>
      </w:tr>
      <w:tr>
        <w:trPr>
          <w:cantSplit w:val="true"/>
        </w:trPr>
        <w:tc>
          <w:tcPr>
            <w:tcW w:type="dxa" w:w="2700"/>
            <w:tcMar>
              <w:top w:w="80" w:type="dxa"/>
              <w:start w:w="120" w:type="dxa"/>
              <w:bottom w:w="80" w:type="dxa"/>
              <w:end w:w="120" w:type="dxa"/>
            </w:tcMar>
            <w:vAlign w:val="top"/>
          </w:tcPr>
          <w:p>
            <w:pPr>
              <w:spacing w:before="0" w:after="60" w:line="252" w:lineRule="auto"/>
            </w:pPr>
            <w:r>
              <w:rPr>
                <w:rFonts w:ascii="Arial" w:hAnsi="Arial"/>
                <w:b w:val="0"/>
                <w:i w:val="0"/>
                <w:color w:val="000000"/>
                <w:sz w:val="18"/>
              </w:rPr>
            </w:r>
            <w:r>
              <w:rPr>
                <w:rFonts w:ascii="Arial" w:hAnsi="Arial"/>
                <w:b w:val="0"/>
                <w:i w:val="0"/>
                <w:color w:val="000000"/>
                <w:sz w:val="18"/>
              </w:rPr>
              <w:t>Creator Merchandise</w:t>
            </w:r>
          </w:p>
        </w:tc>
        <w:tc>
          <w:tcPr>
            <w:tcW w:type="dxa" w:w="6660"/>
            <w:tcMar>
              <w:top w:w="80" w:type="dxa"/>
              <w:start w:w="120" w:type="dxa"/>
              <w:bottom w:w="80" w:type="dxa"/>
              <w:end w:w="120" w:type="dxa"/>
            </w:tcMar>
            <w:vAlign w:val="top"/>
          </w:tcPr>
          <w:p>
            <w:pPr>
              <w:spacing w:before="0" w:after="60" w:line="252" w:lineRule="auto"/>
            </w:pPr>
            <w:r>
              <w:rPr>
                <w:rFonts w:ascii="Arial" w:hAnsi="Arial"/>
                <w:b w:val="0"/>
                <w:i w:val="0"/>
                <w:color w:val="000000"/>
                <w:sz w:val="18"/>
              </w:rPr>
            </w:r>
            <w:r>
              <w:rPr>
                <w:rFonts w:ascii="Arial" w:hAnsi="Arial"/>
                <w:b w:val="0"/>
                <w:i w:val="0"/>
                <w:color w:val="000000"/>
                <w:sz w:val="18"/>
              </w:rPr>
              <w:t>Branded Apparel; Hats &amp; Accessories; Prints &amp; Posters; Stickers; Mugs &amp; Drinkware; Books &amp; Media; Collectibles; Other Creator Merchandise</w:t>
            </w:r>
          </w:p>
        </w:tc>
      </w:tr>
      <w:tr>
        <w:trPr>
          <w:cantSplit w:val="true"/>
        </w:trPr>
        <w:tc>
          <w:tcPr>
            <w:tcW w:type="dxa" w:w="2700"/>
            <w:tcMar>
              <w:top w:w="80" w:type="dxa"/>
              <w:start w:w="120" w:type="dxa"/>
              <w:bottom w:w="80" w:type="dxa"/>
              <w:end w:w="120" w:type="dxa"/>
            </w:tcMar>
            <w:vAlign w:val="top"/>
          </w:tcPr>
          <w:p>
            <w:pPr>
              <w:spacing w:before="0" w:after="60" w:line="252" w:lineRule="auto"/>
            </w:pPr>
            <w:r>
              <w:rPr>
                <w:rFonts w:ascii="Arial" w:hAnsi="Arial"/>
                <w:b w:val="0"/>
                <w:i w:val="0"/>
                <w:color w:val="000000"/>
                <w:sz w:val="18"/>
              </w:rPr>
            </w:r>
            <w:r>
              <w:rPr>
                <w:rFonts w:ascii="Arial" w:hAnsi="Arial"/>
                <w:b w:val="0"/>
                <w:i w:val="0"/>
                <w:color w:val="000000"/>
                <w:sz w:val="18"/>
              </w:rPr>
              <w:t>Sports &amp; Outdoors</w:t>
            </w:r>
          </w:p>
        </w:tc>
        <w:tc>
          <w:tcPr>
            <w:tcW w:type="dxa" w:w="6660"/>
            <w:tcMar>
              <w:top w:w="80" w:type="dxa"/>
              <w:start w:w="120" w:type="dxa"/>
              <w:bottom w:w="80" w:type="dxa"/>
              <w:end w:w="120" w:type="dxa"/>
            </w:tcMar>
            <w:vAlign w:val="top"/>
          </w:tcPr>
          <w:p>
            <w:pPr>
              <w:spacing w:before="0" w:after="60" w:line="252" w:lineRule="auto"/>
            </w:pPr>
            <w:r>
              <w:rPr>
                <w:rFonts w:ascii="Arial" w:hAnsi="Arial"/>
                <w:b w:val="0"/>
                <w:i w:val="0"/>
                <w:color w:val="000000"/>
                <w:sz w:val="18"/>
              </w:rPr>
            </w:r>
            <w:r>
              <w:rPr>
                <w:rFonts w:ascii="Arial" w:hAnsi="Arial"/>
                <w:b w:val="0"/>
                <w:i w:val="0"/>
                <w:color w:val="000000"/>
                <w:sz w:val="18"/>
              </w:rPr>
              <w:t>Fitness Equipment; Outdoor Recreation; Team Sports; Cycling; Running; Camping &amp; Hiking; Sportswear; Other Sports</w:t>
            </w:r>
          </w:p>
        </w:tc>
      </w:tr>
      <w:tr>
        <w:trPr>
          <w:cantSplit w:val="true"/>
        </w:trPr>
        <w:tc>
          <w:tcPr>
            <w:tcW w:type="dxa" w:w="2700"/>
            <w:tcMar>
              <w:top w:w="80" w:type="dxa"/>
              <w:start w:w="120" w:type="dxa"/>
              <w:bottom w:w="80" w:type="dxa"/>
              <w:end w:w="120" w:type="dxa"/>
            </w:tcMar>
            <w:vAlign w:val="top"/>
          </w:tcPr>
          <w:p>
            <w:pPr>
              <w:spacing w:before="0" w:after="60" w:line="252" w:lineRule="auto"/>
            </w:pPr>
            <w:r>
              <w:rPr>
                <w:rFonts w:ascii="Arial" w:hAnsi="Arial"/>
                <w:b w:val="0"/>
                <w:i w:val="0"/>
                <w:color w:val="000000"/>
                <w:sz w:val="18"/>
              </w:rPr>
            </w:r>
            <w:r>
              <w:rPr>
                <w:rFonts w:ascii="Arial" w:hAnsi="Arial"/>
                <w:b w:val="0"/>
                <w:i w:val="0"/>
                <w:color w:val="000000"/>
                <w:sz w:val="18"/>
              </w:rPr>
              <w:t>Health &amp; Wellness</w:t>
            </w:r>
          </w:p>
        </w:tc>
        <w:tc>
          <w:tcPr>
            <w:tcW w:type="dxa" w:w="6660"/>
            <w:tcMar>
              <w:top w:w="80" w:type="dxa"/>
              <w:start w:w="120" w:type="dxa"/>
              <w:bottom w:w="80" w:type="dxa"/>
              <w:end w:w="120" w:type="dxa"/>
            </w:tcMar>
            <w:vAlign w:val="top"/>
          </w:tcPr>
          <w:p>
            <w:pPr>
              <w:spacing w:before="0" w:after="60" w:line="252" w:lineRule="auto"/>
            </w:pPr>
            <w:r>
              <w:rPr>
                <w:rFonts w:ascii="Arial" w:hAnsi="Arial"/>
                <w:b w:val="0"/>
                <w:i w:val="0"/>
                <w:color w:val="000000"/>
                <w:sz w:val="18"/>
              </w:rPr>
            </w:r>
            <w:r>
              <w:rPr>
                <w:rFonts w:ascii="Arial" w:hAnsi="Arial"/>
                <w:b w:val="0"/>
                <w:i w:val="0"/>
                <w:color w:val="000000"/>
                <w:sz w:val="18"/>
              </w:rPr>
              <w:t>Vitamins &amp; Supplements; First Aid; Medical Devices; Oral Care; Personal Hygiene; Mobility &amp; Accessibility; Wellness Products; Other Health</w:t>
            </w:r>
          </w:p>
        </w:tc>
      </w:tr>
      <w:tr>
        <w:trPr>
          <w:cantSplit w:val="true"/>
        </w:trPr>
        <w:tc>
          <w:tcPr>
            <w:tcW w:type="dxa" w:w="2700"/>
            <w:tcMar>
              <w:top w:w="80" w:type="dxa"/>
              <w:start w:w="120" w:type="dxa"/>
              <w:bottom w:w="80" w:type="dxa"/>
              <w:end w:w="120" w:type="dxa"/>
            </w:tcMar>
            <w:vAlign w:val="top"/>
          </w:tcPr>
          <w:p>
            <w:pPr>
              <w:spacing w:before="0" w:after="60" w:line="252" w:lineRule="auto"/>
            </w:pPr>
            <w:r>
              <w:rPr>
                <w:rFonts w:ascii="Arial" w:hAnsi="Arial"/>
                <w:b w:val="0"/>
                <w:i w:val="0"/>
                <w:color w:val="000000"/>
                <w:sz w:val="18"/>
              </w:rPr>
            </w:r>
            <w:r>
              <w:rPr>
                <w:rFonts w:ascii="Arial" w:hAnsi="Arial"/>
                <w:b w:val="0"/>
                <w:i w:val="0"/>
                <w:color w:val="000000"/>
                <w:sz w:val="18"/>
              </w:rPr>
              <w:t>Baby, Kids &amp; Toys</w:t>
            </w:r>
          </w:p>
        </w:tc>
        <w:tc>
          <w:tcPr>
            <w:tcW w:type="dxa" w:w="6660"/>
            <w:tcMar>
              <w:top w:w="80" w:type="dxa"/>
              <w:start w:w="120" w:type="dxa"/>
              <w:bottom w:w="80" w:type="dxa"/>
              <w:end w:w="120" w:type="dxa"/>
            </w:tcMar>
            <w:vAlign w:val="top"/>
          </w:tcPr>
          <w:p>
            <w:pPr>
              <w:spacing w:before="0" w:after="60" w:line="252" w:lineRule="auto"/>
            </w:pPr>
            <w:r>
              <w:rPr>
                <w:rFonts w:ascii="Arial" w:hAnsi="Arial"/>
                <w:b w:val="0"/>
                <w:i w:val="0"/>
                <w:color w:val="000000"/>
                <w:sz w:val="18"/>
              </w:rPr>
            </w:r>
            <w:r>
              <w:rPr>
                <w:rFonts w:ascii="Arial" w:hAnsi="Arial"/>
                <w:b w:val="0"/>
                <w:i w:val="0"/>
                <w:color w:val="000000"/>
                <w:sz w:val="18"/>
              </w:rPr>
              <w:t>Baby Care; Feeding; Kids Clothing; Nursery; Educational Toys; Games &amp; Puzzles; Outdoor Toys; Other Kids &amp; Toys</w:t>
            </w:r>
          </w:p>
        </w:tc>
      </w:tr>
      <w:tr>
        <w:trPr>
          <w:cantSplit w:val="true"/>
        </w:trPr>
        <w:tc>
          <w:tcPr>
            <w:tcW w:type="dxa" w:w="2700"/>
            <w:tcMar>
              <w:top w:w="80" w:type="dxa"/>
              <w:start w:w="120" w:type="dxa"/>
              <w:bottom w:w="80" w:type="dxa"/>
              <w:end w:w="120" w:type="dxa"/>
            </w:tcMar>
            <w:vAlign w:val="top"/>
          </w:tcPr>
          <w:p>
            <w:pPr>
              <w:spacing w:before="0" w:after="60" w:line="252" w:lineRule="auto"/>
            </w:pPr>
            <w:r>
              <w:rPr>
                <w:rFonts w:ascii="Arial" w:hAnsi="Arial"/>
                <w:b w:val="0"/>
                <w:i w:val="0"/>
                <w:color w:val="000000"/>
                <w:sz w:val="18"/>
              </w:rPr>
            </w:r>
            <w:r>
              <w:rPr>
                <w:rFonts w:ascii="Arial" w:hAnsi="Arial"/>
                <w:b w:val="0"/>
                <w:i w:val="0"/>
                <w:color w:val="000000"/>
                <w:sz w:val="18"/>
              </w:rPr>
              <w:t>Pet Supplies</w:t>
            </w:r>
          </w:p>
        </w:tc>
        <w:tc>
          <w:tcPr>
            <w:tcW w:type="dxa" w:w="6660"/>
            <w:tcMar>
              <w:top w:w="80" w:type="dxa"/>
              <w:start w:w="120" w:type="dxa"/>
              <w:bottom w:w="80" w:type="dxa"/>
              <w:end w:w="120" w:type="dxa"/>
            </w:tcMar>
            <w:vAlign w:val="top"/>
          </w:tcPr>
          <w:p>
            <w:pPr>
              <w:spacing w:before="0" w:after="60" w:line="252" w:lineRule="auto"/>
            </w:pPr>
            <w:r>
              <w:rPr>
                <w:rFonts w:ascii="Arial" w:hAnsi="Arial"/>
                <w:b w:val="0"/>
                <w:i w:val="0"/>
                <w:color w:val="000000"/>
                <w:sz w:val="18"/>
              </w:rPr>
            </w:r>
            <w:r>
              <w:rPr>
                <w:rFonts w:ascii="Arial" w:hAnsi="Arial"/>
                <w:b w:val="0"/>
                <w:i w:val="0"/>
                <w:color w:val="000000"/>
                <w:sz w:val="18"/>
              </w:rPr>
              <w:t>Pet Food; Treats; Health &amp; Grooming; Toys; Beds &amp; Habitats; Collars &amp; Leashes; Aquatic Supplies; Other Pet Supplies</w:t>
            </w:r>
          </w:p>
        </w:tc>
      </w:tr>
      <w:tr>
        <w:trPr>
          <w:cantSplit w:val="true"/>
        </w:trPr>
        <w:tc>
          <w:tcPr>
            <w:tcW w:type="dxa" w:w="2700"/>
            <w:tcMar>
              <w:top w:w="80" w:type="dxa"/>
              <w:start w:w="120" w:type="dxa"/>
              <w:bottom w:w="80" w:type="dxa"/>
              <w:end w:w="120" w:type="dxa"/>
            </w:tcMar>
            <w:vAlign w:val="top"/>
          </w:tcPr>
          <w:p>
            <w:pPr>
              <w:spacing w:before="0" w:after="60" w:line="252" w:lineRule="auto"/>
            </w:pPr>
            <w:r>
              <w:rPr>
                <w:rFonts w:ascii="Arial" w:hAnsi="Arial"/>
                <w:b w:val="0"/>
                <w:i w:val="0"/>
                <w:color w:val="000000"/>
                <w:sz w:val="18"/>
              </w:rPr>
            </w:r>
            <w:r>
              <w:rPr>
                <w:rFonts w:ascii="Arial" w:hAnsi="Arial"/>
                <w:b w:val="0"/>
                <w:i w:val="0"/>
                <w:color w:val="000000"/>
                <w:sz w:val="18"/>
              </w:rPr>
              <w:t>Automotive</w:t>
            </w:r>
          </w:p>
        </w:tc>
        <w:tc>
          <w:tcPr>
            <w:tcW w:type="dxa" w:w="6660"/>
            <w:tcMar>
              <w:top w:w="80" w:type="dxa"/>
              <w:start w:w="120" w:type="dxa"/>
              <w:bottom w:w="80" w:type="dxa"/>
              <w:end w:w="120" w:type="dxa"/>
            </w:tcMar>
            <w:vAlign w:val="top"/>
          </w:tcPr>
          <w:p>
            <w:pPr>
              <w:spacing w:before="0" w:after="60" w:line="252" w:lineRule="auto"/>
            </w:pPr>
            <w:r>
              <w:rPr>
                <w:rFonts w:ascii="Arial" w:hAnsi="Arial"/>
                <w:b w:val="0"/>
                <w:i w:val="0"/>
                <w:color w:val="000000"/>
                <w:sz w:val="18"/>
              </w:rPr>
            </w:r>
            <w:r>
              <w:rPr>
                <w:rFonts w:ascii="Arial" w:hAnsi="Arial"/>
                <w:b w:val="0"/>
                <w:i w:val="0"/>
                <w:color w:val="000000"/>
                <w:sz w:val="18"/>
              </w:rPr>
              <w:t>Parts; Tools &amp; Equipment; Car Care; Oils &amp; Fluids; Vehicle Electronics; Interior Accessories; Exterior Accessories; Other Automotive</w:t>
            </w:r>
          </w:p>
        </w:tc>
      </w:tr>
      <w:tr>
        <w:trPr>
          <w:cantSplit w:val="true"/>
        </w:trPr>
        <w:tc>
          <w:tcPr>
            <w:tcW w:type="dxa" w:w="2700"/>
            <w:tcMar>
              <w:top w:w="80" w:type="dxa"/>
              <w:start w:w="120" w:type="dxa"/>
              <w:bottom w:w="80" w:type="dxa"/>
              <w:end w:w="120" w:type="dxa"/>
            </w:tcMar>
            <w:vAlign w:val="top"/>
          </w:tcPr>
          <w:p>
            <w:pPr>
              <w:spacing w:before="0" w:after="60" w:line="252" w:lineRule="auto"/>
            </w:pPr>
            <w:r>
              <w:rPr>
                <w:rFonts w:ascii="Arial" w:hAnsi="Arial"/>
                <w:b w:val="0"/>
                <w:i w:val="0"/>
                <w:color w:val="000000"/>
                <w:sz w:val="18"/>
              </w:rPr>
            </w:r>
            <w:r>
              <w:rPr>
                <w:rFonts w:ascii="Arial" w:hAnsi="Arial"/>
                <w:b w:val="0"/>
                <w:i w:val="0"/>
                <w:color w:val="000000"/>
                <w:sz w:val="18"/>
              </w:rPr>
              <w:t>Office &amp; Business Supplies</w:t>
            </w:r>
          </w:p>
        </w:tc>
        <w:tc>
          <w:tcPr>
            <w:tcW w:type="dxa" w:w="6660"/>
            <w:tcMar>
              <w:top w:w="80" w:type="dxa"/>
              <w:start w:w="120" w:type="dxa"/>
              <w:bottom w:w="80" w:type="dxa"/>
              <w:end w:w="120" w:type="dxa"/>
            </w:tcMar>
            <w:vAlign w:val="top"/>
          </w:tcPr>
          <w:p>
            <w:pPr>
              <w:spacing w:before="0" w:after="60" w:line="252" w:lineRule="auto"/>
            </w:pPr>
            <w:r>
              <w:rPr>
                <w:rFonts w:ascii="Arial" w:hAnsi="Arial"/>
                <w:b w:val="0"/>
                <w:i w:val="0"/>
                <w:color w:val="000000"/>
                <w:sz w:val="18"/>
              </w:rPr>
            </w:r>
            <w:r>
              <w:rPr>
                <w:rFonts w:ascii="Arial" w:hAnsi="Arial"/>
                <w:b w:val="0"/>
                <w:i w:val="0"/>
                <w:color w:val="000000"/>
                <w:sz w:val="18"/>
              </w:rPr>
              <w:t>Office Supplies; Paper &amp; Packaging; Office Furniture; Point of Sale; Safety Equipment; Industrial Consumables; Shipping Supplies; Other Business Supplies</w:t>
            </w:r>
          </w:p>
        </w:tc>
      </w:tr>
    </w:tbl>
    <w:p>
      <w:pPr>
        <w:spacing w:after="40"/>
      </w:pPr>
    </w:p>
    <w:p>
      <w:pPr>
        <w:pStyle w:val="Heading3"/>
      </w:pPr>
      <w:r>
        <w:rPr>
          <w:rFonts w:ascii="Arial" w:hAnsi="Arial"/>
          <w:b w:val="0"/>
          <w:i w:val="0"/>
          <w:color w:val="434343"/>
          <w:sz w:val="28"/>
        </w:rPr>
        <w:t>Searchable selection</w:t>
      </w:r>
    </w:p>
    <w:p>
      <w:pPr>
        <w:keepLines/>
        <w:spacing w:before="0" w:after="160" w:line="276" w:lineRule="auto"/>
      </w:pPr>
      <w:r>
        <w:rPr>
          <w:rFonts w:ascii="Arial" w:hAnsi="Arial"/>
          <w:b w:val="0"/>
          <w:i w:val="0"/>
          <w:color w:val="000000"/>
          <w:sz w:val="22"/>
        </w:rPr>
        <w:t>SearchableCategorySelect</w:t>
      </w:r>
      <w:r>
        <w:rPr>
          <w:rFonts w:ascii="Arial" w:hAnsi="Arial"/>
          <w:b w:val="0"/>
          <w:i w:val="0"/>
          <w:color w:val="000000"/>
          <w:sz w:val="22"/>
        </w:rPr>
        <w:t xml:space="preserve"> searches name, root, breadcrumb, stable code, and aliases. Roots are group headings; only leaf categories are selectable. The same component is used for product create/edit, product filters, and CSV mapping.</w:t>
      </w:r>
    </w:p>
    <w:p>
      <w:pPr>
        <w:keepLines/>
        <w:spacing w:before="0" w:after="160" w:line="276" w:lineRule="auto"/>
      </w:pPr>
      <w:r>
        <w:rPr>
          <w:rFonts w:ascii="Arial" w:hAnsi="Arial"/>
          <w:b w:val="0"/>
          <w:i w:val="0"/>
          <w:color w:val="000000"/>
          <w:sz w:val="22"/>
        </w:rPr>
        <w:t>Selecting a category loads its default template. If the user already entered characteristic values, category changes require a Keep Existing or Replace With Template decision.</w:t>
      </w:r>
    </w:p>
    <w:p>
      <w:pPr>
        <w:pStyle w:val="Heading2"/>
      </w:pPr>
      <w:r>
        <w:rPr>
          <w:rFonts w:ascii="Arial" w:hAnsi="Arial"/>
          <w:b w:val="0"/>
          <w:i w:val="0"/>
          <w:color w:val="000000"/>
          <w:sz w:val="32"/>
        </w:rPr>
        <w:t>7. System template library</w:t>
      </w:r>
    </w:p>
    <w:p>
      <w:pPr>
        <w:keepLines/>
        <w:spacing w:before="0" w:after="160" w:line="276" w:lineRule="auto"/>
      </w:pPr>
      <w:r>
        <w:rPr>
          <w:rFonts w:ascii="Arial" w:hAnsi="Arial"/>
          <w:b w:val="0"/>
          <w:i w:val="0"/>
          <w:color w:val="000000"/>
          <w:sz w:val="22"/>
        </w:rPr>
        <w:t>Seed 12 read-only templates:</w:t>
      </w:r>
    </w:p>
    <w:p>
      <w:pPr>
        <w:pStyle w:val="ListBullet"/>
        <w:keepLines/>
        <w:spacing w:after="80" w:line="276" w:lineRule="auto"/>
        <w:ind w:left="720" w:hanging="360"/>
      </w:pPr>
      <w:r>
        <w:rPr>
          <w:rFonts w:ascii="Arial" w:hAnsi="Arial"/>
          <w:b w:val="0"/>
          <w:i w:val="0"/>
          <w:color w:val="000000"/>
          <w:sz w:val="22"/>
        </w:rPr>
        <w:t>Generic Physical Product</w:t>
      </w:r>
    </w:p>
    <w:p>
      <w:pPr>
        <w:pStyle w:val="ListBullet"/>
        <w:keepLines/>
        <w:spacing w:after="80" w:line="276" w:lineRule="auto"/>
        <w:ind w:left="720" w:hanging="360"/>
      </w:pPr>
      <w:r>
        <w:rPr>
          <w:rFonts w:ascii="Arial" w:hAnsi="Arial"/>
          <w:b w:val="0"/>
          <w:i w:val="0"/>
          <w:color w:val="000000"/>
          <w:sz w:val="22"/>
        </w:rPr>
        <w:t>Packaged Food</w:t>
      </w:r>
    </w:p>
    <w:p>
      <w:pPr>
        <w:pStyle w:val="ListBullet"/>
        <w:keepLines/>
        <w:spacing w:after="80" w:line="276" w:lineRule="auto"/>
        <w:ind w:left="720" w:hanging="360"/>
      </w:pPr>
      <w:r>
        <w:rPr>
          <w:rFonts w:ascii="Arial" w:hAnsi="Arial"/>
          <w:b w:val="0"/>
          <w:i w:val="0"/>
          <w:color w:val="000000"/>
          <w:sz w:val="22"/>
        </w:rPr>
        <w:t>Beverage</w:t>
      </w:r>
    </w:p>
    <w:p>
      <w:pPr>
        <w:pStyle w:val="ListBullet"/>
        <w:keepLines/>
        <w:spacing w:after="80" w:line="276" w:lineRule="auto"/>
        <w:ind w:left="720" w:hanging="360"/>
      </w:pPr>
      <w:r>
        <w:rPr>
          <w:rFonts w:ascii="Arial" w:hAnsi="Arial"/>
          <w:b w:val="0"/>
          <w:i w:val="0"/>
          <w:color w:val="000000"/>
          <w:sz w:val="22"/>
        </w:rPr>
        <w:t>Apparel</w:t>
      </w:r>
    </w:p>
    <w:p>
      <w:pPr>
        <w:pStyle w:val="ListBullet"/>
        <w:keepLines/>
        <w:spacing w:after="80" w:line="276" w:lineRule="auto"/>
        <w:ind w:left="720" w:hanging="360"/>
      </w:pPr>
      <w:r>
        <w:rPr>
          <w:rFonts w:ascii="Arial" w:hAnsi="Arial"/>
          <w:b w:val="0"/>
          <w:i w:val="0"/>
          <w:color w:val="000000"/>
          <w:sz w:val="22"/>
        </w:rPr>
        <w:t>Footwear</w:t>
      </w:r>
    </w:p>
    <w:p>
      <w:pPr>
        <w:pStyle w:val="ListBullet"/>
        <w:keepLines/>
        <w:spacing w:after="80" w:line="276" w:lineRule="auto"/>
        <w:ind w:left="720" w:hanging="360"/>
      </w:pPr>
      <w:r>
        <w:rPr>
          <w:rFonts w:ascii="Arial" w:hAnsi="Arial"/>
          <w:b w:val="0"/>
          <w:i w:val="0"/>
          <w:color w:val="000000"/>
          <w:sz w:val="22"/>
        </w:rPr>
        <w:t>Beauty &amp; Personal Care</w:t>
      </w:r>
    </w:p>
    <w:p>
      <w:pPr>
        <w:pStyle w:val="ListBullet"/>
        <w:keepLines/>
        <w:spacing w:after="80" w:line="276" w:lineRule="auto"/>
        <w:ind w:left="720" w:hanging="360"/>
      </w:pPr>
      <w:r>
        <w:rPr>
          <w:rFonts w:ascii="Arial" w:hAnsi="Arial"/>
          <w:b w:val="0"/>
          <w:i w:val="0"/>
          <w:color w:val="000000"/>
          <w:sz w:val="22"/>
        </w:rPr>
        <w:t>Consumer Electronics</w:t>
      </w:r>
    </w:p>
    <w:p>
      <w:pPr>
        <w:pStyle w:val="ListBullet"/>
        <w:keepLines/>
        <w:spacing w:after="80" w:line="276" w:lineRule="auto"/>
        <w:ind w:left="720" w:hanging="360"/>
      </w:pPr>
      <w:r>
        <w:rPr>
          <w:rFonts w:ascii="Arial" w:hAnsi="Arial"/>
          <w:b w:val="0"/>
          <w:i w:val="0"/>
          <w:color w:val="000000"/>
          <w:sz w:val="22"/>
        </w:rPr>
        <w:t>Computers &amp; Technology</w:t>
      </w:r>
    </w:p>
    <w:p>
      <w:pPr>
        <w:pStyle w:val="ListBullet"/>
        <w:keepLines/>
        <w:spacing w:after="80" w:line="276" w:lineRule="auto"/>
        <w:ind w:left="720" w:hanging="360"/>
      </w:pPr>
      <w:r>
        <w:rPr>
          <w:rFonts w:ascii="Arial" w:hAnsi="Arial"/>
          <w:b w:val="0"/>
          <w:i w:val="0"/>
          <w:color w:val="000000"/>
          <w:sz w:val="22"/>
        </w:rPr>
        <w:t>Home &amp; Kitchen</w:t>
      </w:r>
    </w:p>
    <w:p>
      <w:pPr>
        <w:pStyle w:val="ListBullet"/>
        <w:keepLines/>
        <w:spacing w:after="80" w:line="276" w:lineRule="auto"/>
        <w:ind w:left="720" w:hanging="360"/>
      </w:pPr>
      <w:r>
        <w:rPr>
          <w:rFonts w:ascii="Arial" w:hAnsi="Arial"/>
          <w:b w:val="0"/>
          <w:i w:val="0"/>
          <w:color w:val="000000"/>
          <w:sz w:val="22"/>
        </w:rPr>
        <w:t>Handmade &amp; Creator Merchandise</w:t>
      </w:r>
    </w:p>
    <w:p>
      <w:pPr>
        <w:pStyle w:val="ListBullet"/>
        <w:keepLines/>
        <w:spacing w:after="80" w:line="276" w:lineRule="auto"/>
        <w:ind w:left="720" w:hanging="360"/>
      </w:pPr>
      <w:r>
        <w:rPr>
          <w:rFonts w:ascii="Arial" w:hAnsi="Arial"/>
          <w:b w:val="0"/>
          <w:i w:val="0"/>
          <w:color w:val="000000"/>
          <w:sz w:val="22"/>
        </w:rPr>
        <w:t>Health &amp; Wellness</w:t>
      </w:r>
    </w:p>
    <w:p>
      <w:pPr>
        <w:pStyle w:val="ListBullet"/>
        <w:keepLines/>
        <w:spacing w:after="80" w:line="276" w:lineRule="auto"/>
        <w:ind w:left="720" w:hanging="360"/>
      </w:pPr>
      <w:r>
        <w:rPr>
          <w:rFonts w:ascii="Arial" w:hAnsi="Arial"/>
          <w:b w:val="0"/>
          <w:i w:val="0"/>
          <w:color w:val="000000"/>
          <w:sz w:val="22"/>
        </w:rPr>
        <w:t>Pet Product</w:t>
      </w:r>
    </w:p>
    <w:p>
      <w:pPr>
        <w:keepLines/>
        <w:spacing w:before="0" w:after="160" w:line="276" w:lineRule="auto"/>
      </w:pPr>
      <w:r>
        <w:rPr>
          <w:rFonts w:ascii="Arial" w:hAnsi="Arial"/>
          <w:b w:val="0"/>
          <w:i w:val="0"/>
          <w:color w:val="000000"/>
          <w:sz w:val="22"/>
        </w:rPr>
        <w:t>Each template provides five to eight common optional fields using the existing JSON field representation. Vendors may duplicate a system template into an editable custom template. Categories without a specialized match use Generic Physical Product.</w:t>
      </w:r>
    </w:p>
    <w:p>
      <w:pPr>
        <w:keepLines/>
        <w:spacing w:before="0" w:after="160" w:line="276" w:lineRule="auto"/>
      </w:pPr>
      <w:r>
        <w:rPr>
          <w:rFonts w:ascii="Arial" w:hAnsi="Arial"/>
          <w:b w:val="0"/>
          <w:i w:val="0"/>
          <w:color w:val="000000"/>
          <w:sz w:val="22"/>
        </w:rPr>
        <w:t>The first release deliberately defers versioned template schemas, conditional validation, required-field publication rules, and template migration tooling.</w:t>
      </w:r>
    </w:p>
    <w:p>
      <w:pPr>
        <w:pStyle w:val="Heading2"/>
      </w:pPr>
      <w:r>
        <w:rPr>
          <w:rFonts w:ascii="Arial" w:hAnsi="Arial"/>
          <w:b w:val="0"/>
          <w:i w:val="0"/>
          <w:color w:val="000000"/>
          <w:sz w:val="32"/>
        </w:rPr>
        <w:t>8. Product and version lifecycle</w:t>
      </w:r>
    </w:p>
    <w:p>
      <w:pPr>
        <w:pStyle w:val="Heading3"/>
      </w:pPr>
      <w:r>
        <w:rPr>
          <w:rFonts w:ascii="Arial" w:hAnsi="Arial"/>
          <w:b w:val="0"/>
          <w:i w:val="0"/>
          <w:color w:val="434343"/>
          <w:sz w:val="28"/>
        </w:rPr>
        <w:t>Product status</w:t>
      </w:r>
    </w:p>
    <w:p>
      <w:pPr>
        <w:keepLines/>
        <w:spacing w:before="0" w:after="160" w:line="276" w:lineRule="auto"/>
      </w:pPr>
      <w:r>
        <w:rPr>
          <w:rFonts w:ascii="Arial" w:hAnsi="Arial"/>
          <w:b w:val="0"/>
          <w:i w:val="0"/>
          <w:color w:val="000000"/>
          <w:sz w:val="22"/>
        </w:rPr>
        <w:t>Products retain exactly three states:</w:t>
      </w:r>
    </w:p>
    <w:p>
      <w:pPr>
        <w:pStyle w:val="ListBullet"/>
        <w:keepLines/>
        <w:spacing w:after="80" w:line="276" w:lineRule="auto"/>
        <w:ind w:left="720" w:hanging="360"/>
      </w:pPr>
      <w:r>
        <w:rPr>
          <w:rFonts w:ascii="Courier New" w:hAnsi="Courier New"/>
          <w:b w:val="0"/>
          <w:i w:val="0"/>
          <w:color w:val="000000"/>
          <w:sz w:val="20"/>
        </w:rPr>
        <w:t>DRAFT</w:t>
      </w:r>
    </w:p>
    <w:p>
      <w:pPr>
        <w:pStyle w:val="ListBullet"/>
        <w:keepLines/>
        <w:spacing w:after="80" w:line="276" w:lineRule="auto"/>
        <w:ind w:left="720" w:hanging="360"/>
      </w:pPr>
      <w:r>
        <w:rPr>
          <w:rFonts w:ascii="Courier New" w:hAnsi="Courier New"/>
          <w:b w:val="0"/>
          <w:i w:val="0"/>
          <w:color w:val="000000"/>
          <w:sz w:val="20"/>
        </w:rPr>
        <w:t>ACTIVE</w:t>
      </w:r>
    </w:p>
    <w:p>
      <w:pPr>
        <w:pStyle w:val="ListBullet"/>
        <w:keepLines/>
        <w:spacing w:after="80" w:line="276" w:lineRule="auto"/>
        <w:ind w:left="720" w:hanging="360"/>
      </w:pPr>
      <w:r>
        <w:rPr>
          <w:rFonts w:ascii="Courier New" w:hAnsi="Courier New"/>
          <w:b w:val="0"/>
          <w:i w:val="0"/>
          <w:color w:val="000000"/>
          <w:sz w:val="20"/>
        </w:rPr>
        <w:t>DISCONTINUED</w:t>
      </w:r>
    </w:p>
    <w:p>
      <w:pPr>
        <w:keepLines/>
        <w:spacing w:before="0" w:after="160" w:line="276" w:lineRule="auto"/>
      </w:pPr>
      <w:r>
        <w:rPr>
          <w:rFonts w:ascii="Arial" w:hAnsi="Arial"/>
          <w:b w:val="0"/>
          <w:i w:val="0"/>
          <w:color w:val="000000"/>
          <w:sz w:val="22"/>
        </w:rPr>
        <w:t>The product editor always displays the status selector and defaults to Draft. Lists, dashboard totals, filters, CSV, and universal search use the same enum values.</w:t>
      </w:r>
    </w:p>
    <w:p>
      <w:pPr>
        <w:pStyle w:val="Heading3"/>
      </w:pPr>
      <w:r>
        <w:rPr>
          <w:rFonts w:ascii="Arial" w:hAnsi="Arial"/>
          <w:b w:val="0"/>
          <w:i w:val="0"/>
          <w:color w:val="434343"/>
          <w:sz w:val="28"/>
        </w:rPr>
        <w:t>Sellable versions</w:t>
      </w:r>
    </w:p>
    <w:p>
      <w:pPr>
        <w:keepLines/>
        <w:spacing w:before="0" w:after="160" w:line="276" w:lineRule="auto"/>
      </w:pPr>
      <w:r>
        <w:rPr>
          <w:rFonts w:ascii="Arial" w:hAnsi="Arial"/>
          <w:b w:val="0"/>
          <w:i w:val="0"/>
          <w:color w:val="000000"/>
          <w:sz w:val="22"/>
        </w:rPr>
        <w:t xml:space="preserve">A </w:t>
      </w:r>
      <w:r>
        <w:rPr>
          <w:rFonts w:ascii="Arial" w:hAnsi="Arial"/>
          <w:b w:val="0"/>
          <w:i w:val="0"/>
          <w:color w:val="000000"/>
          <w:sz w:val="22"/>
        </w:rPr>
        <w:t>Product</w:t>
      </w:r>
      <w:r>
        <w:rPr>
          <w:rFonts w:ascii="Arial" w:hAnsi="Arial"/>
          <w:b w:val="0"/>
          <w:i w:val="0"/>
          <w:color w:val="000000"/>
          <w:sz w:val="22"/>
        </w:rPr>
        <w:t xml:space="preserve"> is the shared identity: vendor, base name, category, product status, and lifecycle timestamps. A </w:t>
      </w:r>
      <w:r>
        <w:rPr>
          <w:rFonts w:ascii="Arial" w:hAnsi="Arial"/>
          <w:b w:val="0"/>
          <w:i w:val="0"/>
          <w:color w:val="000000"/>
          <w:sz w:val="22"/>
        </w:rPr>
        <w:t>ProductVersion</w:t>
      </w:r>
      <w:r>
        <w:rPr>
          <w:rFonts w:ascii="Arial" w:hAnsi="Arial"/>
          <w:b w:val="0"/>
          <w:i w:val="0"/>
          <w:color w:val="000000"/>
          <w:sz w:val="22"/>
        </w:rPr>
        <w:t xml:space="preserve"> represents a sellable edition such as Original, Formula V2, 2026 Edition, or Packaging Redesign.</w:t>
      </w:r>
    </w:p>
    <w:p>
      <w:pPr>
        <w:keepLines/>
        <w:spacing w:before="0" w:after="160" w:line="276" w:lineRule="auto"/>
      </w:pPr>
      <w:r>
        <w:rPr>
          <w:rFonts w:ascii="Arial" w:hAnsi="Arial"/>
          <w:b w:val="0"/>
          <w:i w:val="0"/>
          <w:color w:val="000000"/>
          <w:sz w:val="22"/>
        </w:rPr>
        <w:t>Each version owns:</w:t>
      </w:r>
    </w:p>
    <w:p>
      <w:pPr>
        <w:pStyle w:val="ListBullet"/>
        <w:keepLines/>
        <w:spacing w:after="80" w:line="276" w:lineRule="auto"/>
        <w:ind w:left="720" w:hanging="360"/>
      </w:pPr>
      <w:r>
        <w:rPr>
          <w:rFonts w:ascii="Arial" w:hAnsi="Arial"/>
          <w:b w:val="0"/>
          <w:i w:val="0"/>
          <w:color w:val="000000"/>
          <w:sz w:val="22"/>
        </w:rPr>
        <w:t>Monotonic version number and human-readable label.</w:t>
      </w:r>
    </w:p>
    <w:p>
      <w:pPr>
        <w:pStyle w:val="ListBullet"/>
        <w:keepLines/>
        <w:spacing w:after="80" w:line="276" w:lineRule="auto"/>
        <w:ind w:left="720" w:hanging="360"/>
      </w:pPr>
      <w:r>
        <w:rPr>
          <w:rFonts w:ascii="Arial" w:hAnsi="Arial"/>
          <w:b w:val="0"/>
          <w:i w:val="0"/>
          <w:color w:val="000000"/>
          <w:sz w:val="22"/>
        </w:rPr>
        <w:t>Vendor-unique SKU.</w:t>
      </w:r>
    </w:p>
    <w:p>
      <w:pPr>
        <w:pStyle w:val="ListBullet"/>
        <w:keepLines/>
        <w:spacing w:after="80" w:line="276" w:lineRule="auto"/>
        <w:ind w:left="720" w:hanging="360"/>
      </w:pPr>
      <w:r>
        <w:rPr>
          <w:rFonts w:ascii="Arial" w:hAnsi="Arial"/>
          <w:b w:val="0"/>
          <w:i w:val="0"/>
          <w:color w:val="000000"/>
          <w:sz w:val="22"/>
        </w:rPr>
        <w:t>Barcode and QR target.</w:t>
      </w:r>
    </w:p>
    <w:p>
      <w:pPr>
        <w:pStyle w:val="ListBullet"/>
        <w:keepLines/>
        <w:spacing w:after="80" w:line="276" w:lineRule="auto"/>
        <w:ind w:left="720" w:hanging="360"/>
      </w:pPr>
      <w:r>
        <w:rPr>
          <w:rFonts w:ascii="Arial" w:hAnsi="Arial"/>
          <w:b w:val="0"/>
          <w:i w:val="0"/>
          <w:color w:val="000000"/>
          <w:sz w:val="22"/>
        </w:rPr>
        <w:t>Draft, Active, or Discontinued status.</w:t>
      </w:r>
    </w:p>
    <w:p>
      <w:pPr>
        <w:pStyle w:val="ListBullet"/>
        <w:keepLines/>
        <w:spacing w:after="80" w:line="276" w:lineRule="auto"/>
        <w:ind w:left="720" w:hanging="360"/>
      </w:pPr>
      <w:r>
        <w:rPr>
          <w:rFonts w:ascii="Arial" w:hAnsi="Arial"/>
          <w:b w:val="0"/>
          <w:i w:val="0"/>
          <w:color w:val="000000"/>
          <w:sz w:val="22"/>
        </w:rPr>
        <w:t>Characteristics and design notes.</w:t>
      </w:r>
    </w:p>
    <w:p>
      <w:pPr>
        <w:pStyle w:val="ListBullet"/>
        <w:keepLines/>
        <w:spacing w:after="80" w:line="276" w:lineRule="auto"/>
        <w:ind w:left="720" w:hanging="360"/>
      </w:pPr>
      <w:r>
        <w:rPr>
          <w:rFonts w:ascii="Arial" w:hAnsi="Arial"/>
          <w:b w:val="0"/>
          <w:i w:val="0"/>
          <w:color w:val="000000"/>
          <w:sz w:val="22"/>
        </w:rPr>
        <w:t>Images and primary-version flag.</w:t>
      </w:r>
    </w:p>
    <w:p>
      <w:pPr>
        <w:pStyle w:val="ListBullet"/>
        <w:keepLines/>
        <w:spacing w:after="80" w:line="276" w:lineRule="auto"/>
        <w:ind w:left="720" w:hanging="360"/>
      </w:pPr>
      <w:r>
        <w:rPr>
          <w:rFonts w:ascii="Arial" w:hAnsi="Arial"/>
          <w:b w:val="0"/>
          <w:i w:val="0"/>
          <w:color w:val="000000"/>
          <w:sz w:val="22"/>
        </w:rPr>
        <w:t>Lifecycle timestamps and soft deletion.</w:t>
      </w:r>
    </w:p>
    <w:p>
      <w:pPr>
        <w:keepLines/>
        <w:spacing w:before="0" w:after="160" w:line="276" w:lineRule="auto"/>
      </w:pPr>
      <w:r>
        <w:rPr>
          <w:rFonts w:ascii="Arial" w:hAnsi="Arial"/>
          <w:b w:val="0"/>
          <w:i w:val="0"/>
          <w:color w:val="000000"/>
          <w:sz w:val="22"/>
        </w:rPr>
        <w:t>Effective availability requires both the product and version to be Active. Activating a product requires at least one active version. Changing product status does not silently rewrite version statuses.</w:t>
      </w:r>
    </w:p>
    <w:p>
      <w:pPr>
        <w:keepLines/>
        <w:spacing w:before="0" w:after="160" w:line="276" w:lineRule="auto"/>
      </w:pPr>
      <w:r>
        <w:rPr>
          <w:rFonts w:ascii="Arial" w:hAnsi="Arial"/>
          <w:b w:val="0"/>
          <w:i w:val="0"/>
          <w:color w:val="000000"/>
          <w:sz w:val="22"/>
        </w:rPr>
        <w:t xml:space="preserve">Product creation creates the parent product and one Original primary version in one transaction. SKU is optional; the API generates </w:t>
      </w:r>
      <w:r>
        <w:rPr>
          <w:rFonts w:ascii="Arial" w:hAnsi="Arial"/>
          <w:b w:val="0"/>
          <w:i w:val="0"/>
          <w:color w:val="000000"/>
          <w:sz w:val="22"/>
        </w:rPr>
        <w:t>PRD-{8 uppercase characters}</w:t>
      </w:r>
      <w:r>
        <w:rPr>
          <w:rFonts w:ascii="Arial" w:hAnsi="Arial"/>
          <w:b w:val="0"/>
          <w:i w:val="0"/>
          <w:color w:val="000000"/>
          <w:sz w:val="22"/>
        </w:rPr>
        <w:t xml:space="preserve"> when omitted.</w:t>
      </w:r>
    </w:p>
    <w:p>
      <w:pPr>
        <w:pStyle w:val="Heading3"/>
      </w:pPr>
      <w:r>
        <w:rPr>
          <w:rFonts w:ascii="Arial" w:hAnsi="Arial"/>
          <w:b w:val="0"/>
          <w:i w:val="0"/>
          <w:color w:val="434343"/>
          <w:sz w:val="28"/>
        </w:rPr>
        <w:t>Version actions</w:t>
      </w:r>
    </w:p>
    <w:p>
      <w:pPr>
        <w:pStyle w:val="ListBullet"/>
        <w:keepLines/>
        <w:spacing w:after="80" w:line="276" w:lineRule="auto"/>
        <w:ind w:left="720" w:hanging="360"/>
      </w:pPr>
      <w:r>
        <w:rPr>
          <w:rFonts w:ascii="Arial" w:hAnsi="Arial"/>
          <w:b w:val="0"/>
          <w:i w:val="0"/>
          <w:color w:val="000000"/>
          <w:sz w:val="22"/>
        </w:rPr>
        <w:t>Start Blank creates an empty new version.</w:t>
      </w:r>
    </w:p>
    <w:p>
      <w:pPr>
        <w:pStyle w:val="ListBullet"/>
        <w:keepLines/>
        <w:spacing w:after="80" w:line="276" w:lineRule="auto"/>
        <w:ind w:left="720" w:hanging="360"/>
      </w:pPr>
      <w:r>
        <w:rPr>
          <w:rFonts w:ascii="Arial" w:hAnsi="Arial"/>
          <w:b w:val="0"/>
          <w:i w:val="0"/>
          <w:color w:val="000000"/>
          <w:sz w:val="22"/>
        </w:rPr>
        <w:t>Copy Existing copies characteristics, design notes, and image associations without duplicating R2 objects.</w:t>
      </w:r>
    </w:p>
    <w:p>
      <w:pPr>
        <w:pStyle w:val="ListBullet"/>
        <w:keepLines/>
        <w:spacing w:after="80" w:line="276" w:lineRule="auto"/>
        <w:ind w:left="720" w:hanging="360"/>
      </w:pPr>
      <w:r>
        <w:rPr>
          <w:rFonts w:ascii="Arial" w:hAnsi="Arial"/>
          <w:b w:val="0"/>
          <w:i w:val="0"/>
          <w:color w:val="000000"/>
          <w:sz w:val="22"/>
        </w:rPr>
        <w:t>Set Primary changes the version presented in product lists and summaries.</w:t>
      </w:r>
    </w:p>
    <w:p>
      <w:pPr>
        <w:pStyle w:val="ListBullet"/>
        <w:keepLines/>
        <w:spacing w:after="80" w:line="276" w:lineRule="auto"/>
        <w:ind w:left="720" w:hanging="360"/>
      </w:pPr>
      <w:r>
        <w:rPr>
          <w:rFonts w:ascii="Arial" w:hAnsi="Arial"/>
          <w:b w:val="0"/>
          <w:i w:val="0"/>
          <w:color w:val="000000"/>
          <w:sz w:val="22"/>
        </w:rPr>
        <w:t>Discontinue and Reactivate preserve history.</w:t>
      </w:r>
    </w:p>
    <w:p>
      <w:pPr>
        <w:pStyle w:val="ListBullet"/>
        <w:keepLines/>
        <w:spacing w:after="80" w:line="276" w:lineRule="auto"/>
        <w:ind w:left="720" w:hanging="360"/>
      </w:pPr>
      <w:r>
        <w:rPr>
          <w:rFonts w:ascii="Arial" w:hAnsi="Arial"/>
          <w:b w:val="0"/>
          <w:i w:val="0"/>
          <w:color w:val="000000"/>
          <w:sz w:val="22"/>
        </w:rPr>
        <w:t>The only remaining version cannot be deleted.</w:t>
      </w:r>
    </w:p>
    <w:p>
      <w:pPr>
        <w:pStyle w:val="ListBullet"/>
        <w:keepLines/>
        <w:spacing w:after="80" w:line="276" w:lineRule="auto"/>
        <w:ind w:left="720" w:hanging="360"/>
      </w:pPr>
      <w:r>
        <w:rPr>
          <w:rFonts w:ascii="Arial" w:hAnsi="Arial"/>
          <w:b w:val="0"/>
          <w:i w:val="0"/>
          <w:color w:val="000000"/>
          <w:sz w:val="22"/>
        </w:rPr>
        <w:t>A primary version cannot be deleted until another primary version is selected.</w:t>
      </w:r>
    </w:p>
    <w:p>
      <w:pPr>
        <w:keepLines/>
        <w:spacing w:before="0" w:after="160" w:line="276" w:lineRule="auto"/>
      </w:pPr>
      <w:r>
        <w:rPr>
          <w:rFonts w:ascii="Arial" w:hAnsi="Arial"/>
          <w:b w:val="0"/>
          <w:i w:val="0"/>
          <w:color w:val="000000"/>
          <w:sz w:val="22"/>
        </w:rPr>
        <w:t>The product page shows version cards, primary status, SKU, version status, version comparison, and version actions.</w:t>
      </w:r>
    </w:p>
    <w:p>
      <w:pPr>
        <w:pStyle w:val="Heading2"/>
      </w:pPr>
      <w:r>
        <w:rPr>
          <w:rFonts w:ascii="Arial" w:hAnsi="Arial"/>
          <w:b w:val="0"/>
          <w:i w:val="0"/>
          <w:color w:val="000000"/>
          <w:sz w:val="32"/>
        </w:rPr>
        <w:t>9. Universal search</w:t>
      </w:r>
    </w:p>
    <w:p>
      <w:pPr>
        <w:keepLines/>
        <w:spacing w:before="0" w:after="160" w:line="276" w:lineRule="auto"/>
      </w:pPr>
      <w:r>
        <w:rPr>
          <w:rFonts w:ascii="Arial" w:hAnsi="Arial"/>
          <w:b w:val="0"/>
          <w:i w:val="0"/>
          <w:color w:val="000000"/>
          <w:sz w:val="22"/>
        </w:rPr>
        <w:t>Universal search covers products, product versions, categories, and templates.</w:t>
      </w:r>
    </w:p>
    <w:p>
      <w:pPr>
        <w:pStyle w:val="Heading3"/>
      </w:pPr>
      <w:r>
        <w:rPr>
          <w:rFonts w:ascii="Arial" w:hAnsi="Arial"/>
          <w:b w:val="0"/>
          <w:i w:val="0"/>
          <w:color w:val="434343"/>
          <w:sz w:val="28"/>
        </w:rPr>
        <w:t>User experience</w:t>
      </w:r>
    </w:p>
    <w:p>
      <w:pPr>
        <w:pStyle w:val="ListBullet"/>
        <w:keepLines/>
        <w:spacing w:after="80" w:line="276" w:lineRule="auto"/>
        <w:ind w:left="720" w:hanging="360"/>
      </w:pPr>
      <w:r>
        <w:rPr>
          <w:rFonts w:ascii="Arial" w:hAnsi="Arial"/>
          <w:b w:val="0"/>
          <w:i w:val="0"/>
          <w:color w:val="000000"/>
          <w:sz w:val="22"/>
        </w:rPr>
        <w:t>Desktop shows a search trigger in the header.</w:t>
      </w:r>
    </w:p>
    <w:p>
      <w:pPr>
        <w:pStyle w:val="ListBullet"/>
        <w:keepLines/>
        <w:spacing w:after="80" w:line="276" w:lineRule="auto"/>
        <w:ind w:left="720" w:hanging="360"/>
      </w:pPr>
      <w:r>
        <w:rPr>
          <w:rFonts w:ascii="Arial" w:hAnsi="Arial"/>
          <w:b w:val="0"/>
          <w:i w:val="0"/>
          <w:color w:val="000000"/>
          <w:sz w:val="22"/>
        </w:rPr>
        <w:t>Mobile shows a search icon.</w:t>
      </w:r>
    </w:p>
    <w:p>
      <w:pPr>
        <w:pStyle w:val="ListBullet"/>
        <w:keepLines/>
        <w:spacing w:after="80" w:line="276" w:lineRule="auto"/>
        <w:ind w:left="720" w:hanging="360"/>
      </w:pPr>
      <w:r>
        <w:rPr>
          <w:rFonts w:ascii="Courier New" w:hAnsi="Courier New"/>
          <w:b w:val="0"/>
          <w:i w:val="0"/>
          <w:color w:val="000000"/>
          <w:sz w:val="20"/>
        </w:rPr>
        <w:t>Ctrl+K</w:t>
      </w:r>
      <w:r>
        <w:rPr>
          <w:rFonts w:ascii="Arial" w:hAnsi="Arial"/>
          <w:b w:val="0"/>
          <w:i w:val="0"/>
          <w:color w:val="000000"/>
          <w:sz w:val="22"/>
        </w:rPr>
        <w:t xml:space="preserve"> and </w:t>
      </w:r>
      <w:r>
        <w:rPr>
          <w:rFonts w:ascii="Courier New" w:hAnsi="Courier New"/>
          <w:b w:val="0"/>
          <w:i w:val="0"/>
          <w:color w:val="000000"/>
          <w:sz w:val="20"/>
        </w:rPr>
        <w:t>Cmd+K</w:t>
      </w:r>
      <w:r>
        <w:rPr>
          <w:rFonts w:ascii="Arial" w:hAnsi="Arial"/>
          <w:b w:val="0"/>
          <w:i w:val="0"/>
          <w:color w:val="000000"/>
          <w:sz w:val="22"/>
        </w:rPr>
        <w:t xml:space="preserve"> open the command palette.</w:t>
      </w:r>
    </w:p>
    <w:p>
      <w:pPr>
        <w:pStyle w:val="ListBullet"/>
        <w:keepLines/>
        <w:spacing w:after="80" w:line="276" w:lineRule="auto"/>
        <w:ind w:left="720" w:hanging="360"/>
      </w:pPr>
      <w:r>
        <w:rPr>
          <w:rFonts w:ascii="Arial" w:hAnsi="Arial"/>
          <w:b w:val="0"/>
          <w:i w:val="0"/>
          <w:color w:val="000000"/>
          <w:sz w:val="22"/>
        </w:rPr>
        <w:t>Search begins at two characters and is debounced by 200 ms.</w:t>
      </w:r>
    </w:p>
    <w:p>
      <w:pPr>
        <w:pStyle w:val="ListBullet"/>
        <w:keepLines/>
        <w:spacing w:after="80" w:line="276" w:lineRule="auto"/>
        <w:ind w:left="720" w:hanging="360"/>
      </w:pPr>
      <w:r>
        <w:rPr>
          <w:rFonts w:ascii="Arial" w:hAnsi="Arial"/>
          <w:b w:val="0"/>
          <w:i w:val="0"/>
          <w:color w:val="000000"/>
          <w:sz w:val="22"/>
        </w:rPr>
        <w:t>The palette shows up to five results per Products, Categories, and Templates group.</w:t>
      </w:r>
    </w:p>
    <w:p>
      <w:pPr>
        <w:pStyle w:val="ListBullet"/>
        <w:keepLines/>
        <w:spacing w:after="80" w:line="276" w:lineRule="auto"/>
        <w:ind w:left="720" w:hanging="360"/>
      </w:pPr>
      <w:r>
        <w:rPr>
          <w:rFonts w:ascii="Arial" w:hAnsi="Arial"/>
          <w:b w:val="0"/>
          <w:i w:val="0"/>
          <w:color w:val="000000"/>
          <w:sz w:val="22"/>
        </w:rPr>
        <w:t xml:space="preserve">View All opens </w:t>
      </w:r>
      <w:r>
        <w:rPr>
          <w:rFonts w:ascii="Courier New" w:hAnsi="Courier New"/>
          <w:b w:val="0"/>
          <w:i w:val="0"/>
          <w:color w:val="000000"/>
          <w:sz w:val="20"/>
        </w:rPr>
        <w:t>/dashboard/search?q=...</w:t>
      </w:r>
      <w:r>
        <w:rPr>
          <w:rFonts w:ascii="Arial" w:hAnsi="Arial"/>
          <w:b w:val="0"/>
          <w:i w:val="0"/>
          <w:color w:val="000000"/>
          <w:sz w:val="22"/>
        </w:rPr>
        <w:t xml:space="preserve"> with type filters and pagination.</w:t>
      </w:r>
    </w:p>
    <w:p>
      <w:pPr>
        <w:pStyle w:val="ListBullet"/>
        <w:keepLines/>
        <w:spacing w:after="80" w:line="276" w:lineRule="auto"/>
        <w:ind w:left="720" w:hanging="360"/>
      </w:pPr>
      <w:r>
        <w:rPr>
          <w:rFonts w:ascii="Arial" w:hAnsi="Arial"/>
          <w:b w:val="0"/>
          <w:i w:val="0"/>
          <w:color w:val="000000"/>
          <w:sz w:val="22"/>
        </w:rPr>
        <w:t>Version matches appear under Products and deep-link to the matching version.</w:t>
      </w:r>
    </w:p>
    <w:p>
      <w:pPr>
        <w:pStyle w:val="Heading3"/>
      </w:pPr>
      <w:r>
        <w:rPr>
          <w:rFonts w:ascii="Arial" w:hAnsi="Arial"/>
          <w:b w:val="0"/>
          <w:i w:val="0"/>
          <w:color w:val="434343"/>
          <w:sz w:val="28"/>
        </w:rPr>
        <w:t>Search fields and ranking</w:t>
      </w:r>
    </w:p>
    <w:p>
      <w:pPr>
        <w:pStyle w:val="ListBullet"/>
        <w:keepLines/>
        <w:spacing w:after="80" w:line="276" w:lineRule="auto"/>
        <w:ind w:left="720" w:hanging="360"/>
      </w:pPr>
      <w:r>
        <w:rPr>
          <w:rFonts w:ascii="Arial" w:hAnsi="Arial"/>
          <w:b w:val="0"/>
          <w:i w:val="0"/>
          <w:color w:val="000000"/>
          <w:sz w:val="22"/>
        </w:rPr>
        <w:t>Products: name, product status, primary SKU/barcode, version label, version SKU/barcode, characteristic names, and characteristic values.</w:t>
      </w:r>
    </w:p>
    <w:p>
      <w:pPr>
        <w:pStyle w:val="ListBullet"/>
        <w:keepLines/>
        <w:spacing w:after="80" w:line="276" w:lineRule="auto"/>
        <w:ind w:left="720" w:hanging="360"/>
      </w:pPr>
      <w:r>
        <w:rPr>
          <w:rFonts w:ascii="Arial" w:hAnsi="Arial"/>
          <w:b w:val="0"/>
          <w:i w:val="0"/>
          <w:color w:val="000000"/>
          <w:sz w:val="22"/>
        </w:rPr>
        <w:t>Categories: name, root, breadcrumb, code, and aliases.</w:t>
      </w:r>
    </w:p>
    <w:p>
      <w:pPr>
        <w:pStyle w:val="ListBullet"/>
        <w:keepLines/>
        <w:spacing w:after="80" w:line="276" w:lineRule="auto"/>
        <w:ind w:left="720" w:hanging="360"/>
      </w:pPr>
      <w:r>
        <w:rPr>
          <w:rFonts w:ascii="Arial" w:hAnsi="Arial"/>
          <w:b w:val="0"/>
          <w:i w:val="0"/>
          <w:color w:val="000000"/>
          <w:sz w:val="22"/>
        </w:rPr>
        <w:t>Templates: template name and field names.</w:t>
      </w:r>
    </w:p>
    <w:p>
      <w:pPr>
        <w:pStyle w:val="ListBullet"/>
        <w:keepLines/>
        <w:spacing w:after="80" w:line="276" w:lineRule="auto"/>
        <w:ind w:left="720" w:hanging="360"/>
      </w:pPr>
      <w:r>
        <w:rPr>
          <w:rFonts w:ascii="Arial" w:hAnsi="Arial"/>
          <w:b w:val="0"/>
          <w:i w:val="0"/>
          <w:color w:val="000000"/>
          <w:sz w:val="22"/>
        </w:rPr>
        <w:t>Exact SKU/barcode matches rank first, exact names second, prefixes third, and fuzzy matches last.</w:t>
      </w:r>
    </w:p>
    <w:p>
      <w:pPr>
        <w:keepLines/>
        <w:spacing w:before="0" w:after="160" w:line="276" w:lineRule="auto"/>
      </w:pPr>
      <w:r>
        <w:rPr>
          <w:rFonts w:ascii="Arial" w:hAnsi="Arial"/>
          <w:b w:val="0"/>
          <w:i w:val="0"/>
          <w:color w:val="000000"/>
          <w:sz w:val="22"/>
        </w:rPr>
        <w:t>Search is authenticated and tenant-scoped. Product results are vendor-private. Categories and templates include system records plus the current vendor's records.</w:t>
      </w:r>
    </w:p>
    <w:p>
      <w:pPr>
        <w:keepLines/>
        <w:spacing w:before="0" w:after="160" w:line="276" w:lineRule="auto"/>
      </w:pPr>
      <w:r>
        <w:rPr>
          <w:rFonts w:ascii="Arial" w:hAnsi="Arial"/>
          <w:b w:val="0"/>
          <w:i w:val="0"/>
          <w:color w:val="000000"/>
          <w:sz w:val="22"/>
        </w:rPr>
        <w:t xml:space="preserve">PostgreSQL normalized </w:t>
      </w:r>
      <w:r>
        <w:rPr>
          <w:rFonts w:ascii="Arial" w:hAnsi="Arial"/>
          <w:b w:val="0"/>
          <w:i w:val="0"/>
          <w:color w:val="000000"/>
          <w:sz w:val="22"/>
        </w:rPr>
        <w:t>searchText</w:t>
      </w:r>
      <w:r>
        <w:rPr>
          <w:rFonts w:ascii="Arial" w:hAnsi="Arial"/>
          <w:b w:val="0"/>
          <w:i w:val="0"/>
          <w:color w:val="000000"/>
          <w:sz w:val="22"/>
        </w:rPr>
        <w:t xml:space="preserve"> fields and </w:t>
      </w:r>
      <w:r>
        <w:rPr>
          <w:rFonts w:ascii="Arial" w:hAnsi="Arial"/>
          <w:b w:val="0"/>
          <w:i w:val="0"/>
          <w:color w:val="000000"/>
          <w:sz w:val="22"/>
        </w:rPr>
        <w:t>pg_trgm</w:t>
      </w:r>
      <w:r>
        <w:rPr>
          <w:rFonts w:ascii="Arial" w:hAnsi="Arial"/>
          <w:b w:val="0"/>
          <w:i w:val="0"/>
          <w:color w:val="000000"/>
          <w:sz w:val="22"/>
        </w:rPr>
        <w:t xml:space="preserve"> indexes provide initial search. Query length is capped at 100 characters and the route uses the existing rate-limit infrastructure.</w:t>
      </w:r>
    </w:p>
    <w:p>
      <w:pPr>
        <w:pStyle w:val="Heading2"/>
      </w:pPr>
      <w:r>
        <w:rPr>
          <w:rFonts w:ascii="Arial" w:hAnsi="Arial"/>
          <w:b w:val="0"/>
          <w:i w:val="0"/>
          <w:color w:val="000000"/>
          <w:sz w:val="32"/>
        </w:rPr>
        <w:t>10. Public API and type changes</w:t>
      </w:r>
    </w:p>
    <w:p>
      <w:pPr>
        <w:pStyle w:val="Heading3"/>
      </w:pPr>
      <w:r>
        <w:rPr>
          <w:rFonts w:ascii="Arial" w:hAnsi="Arial"/>
          <w:b w:val="0"/>
          <w:i w:val="0"/>
          <w:color w:val="434343"/>
          <w:sz w:val="28"/>
        </w:rPr>
        <w:t>Category options</w:t>
      </w:r>
    </w:p>
    <w:p>
      <w:pPr>
        <w:keepLines/>
        <w:spacing w:before="0" w:after="160" w:line="276" w:lineRule="auto"/>
      </w:pPr>
      <w:r>
        <w:rPr>
          <w:rFonts w:ascii="Arial" w:hAnsi="Arial"/>
          <w:b w:val="0"/>
          <w:i w:val="0"/>
          <w:color w:val="000000"/>
          <w:sz w:val="22"/>
        </w:rPr>
        <w:t>GET /api/v1/categories/options</w:t>
      </w:r>
    </w:p>
    <w:p>
      <w:pPr>
        <w:spacing w:before="60" w:after="160" w:line="240" w:lineRule="auto"/>
        <w:ind w:left="288" w:right="288"/>
      </w:pPr>
      <w:r>
        <w:rPr>
          <w:rFonts w:ascii="Courier New" w:hAnsi="Courier New"/>
          <w:b w:val="0"/>
          <w:i w:val="0"/>
          <w:color w:val="434343"/>
          <w:sz w:val="17"/>
        </w:rPr>
        <w:t>interface CategoryOption {</w:t>
      </w:r>
      <w:r>
        <w:br/>
      </w:r>
      <w:r>
        <w:rPr>
          <w:rFonts w:ascii="Courier New" w:hAnsi="Courier New"/>
          <w:b w:val="0"/>
          <w:i w:val="0"/>
          <w:color w:val="434343"/>
          <w:sz w:val="17"/>
        </w:rPr>
        <w:t xml:space="preserve">  id: string;</w:t>
      </w:r>
      <w:r>
        <w:br/>
      </w:r>
      <w:r>
        <w:rPr>
          <w:rFonts w:ascii="Courier New" w:hAnsi="Courier New"/>
          <w:b w:val="0"/>
          <w:i w:val="0"/>
          <w:color w:val="434343"/>
          <w:sz w:val="17"/>
        </w:rPr>
        <w:t xml:space="preserve">  code: string;</w:t>
      </w:r>
      <w:r>
        <w:br/>
      </w:r>
      <w:r>
        <w:rPr>
          <w:rFonts w:ascii="Courier New" w:hAnsi="Courier New"/>
          <w:b w:val="0"/>
          <w:i w:val="0"/>
          <w:color w:val="434343"/>
          <w:sz w:val="17"/>
        </w:rPr>
        <w:t xml:space="preserve">  name: string;</w:t>
      </w:r>
      <w:r>
        <w:br/>
      </w:r>
      <w:r>
        <w:rPr>
          <w:rFonts w:ascii="Courier New" w:hAnsi="Courier New"/>
          <w:b w:val="0"/>
          <w:i w:val="0"/>
          <w:color w:val="434343"/>
          <w:sz w:val="17"/>
        </w:rPr>
        <w:t xml:space="preserve">  path: string;</w:t>
      </w:r>
      <w:r>
        <w:br/>
      </w:r>
      <w:r>
        <w:rPr>
          <w:rFonts w:ascii="Courier New" w:hAnsi="Courier New"/>
          <w:b w:val="0"/>
          <w:i w:val="0"/>
          <w:color w:val="434343"/>
          <w:sz w:val="17"/>
        </w:rPr>
        <w:t xml:space="preserve">  aliases: string[];</w:t>
      </w:r>
      <w:r>
        <w:br/>
      </w:r>
      <w:r>
        <w:rPr>
          <w:rFonts w:ascii="Courier New" w:hAnsi="Courier New"/>
          <w:b w:val="0"/>
          <w:i w:val="0"/>
          <w:color w:val="434343"/>
          <w:sz w:val="17"/>
        </w:rPr>
        <w:t xml:space="preserve">  parentId: string;</w:t>
      </w:r>
      <w:r>
        <w:br/>
      </w:r>
      <w:r>
        <w:rPr>
          <w:rFonts w:ascii="Courier New" w:hAnsi="Courier New"/>
          <w:b w:val="0"/>
          <w:i w:val="0"/>
          <w:color w:val="434343"/>
          <w:sz w:val="17"/>
        </w:rPr>
        <w:t xml:space="preserve">  defaultTemplateId: string | null;</w:t>
      </w:r>
      <w:r>
        <w:br/>
      </w:r>
      <w:r>
        <w:rPr>
          <w:rFonts w:ascii="Courier New" w:hAnsi="Courier New"/>
          <w:b w:val="0"/>
          <w:i w:val="0"/>
          <w:color w:val="434343"/>
          <w:sz w:val="17"/>
        </w:rPr>
        <w:t xml:space="preserve">  source: 'SYSTEM' | 'VENDOR';</w:t>
      </w:r>
      <w:r>
        <w:br/>
      </w:r>
      <w:r>
        <w:rPr>
          <w:rFonts w:ascii="Courier New" w:hAnsi="Courier New"/>
          <w:b w:val="0"/>
          <w:i w:val="0"/>
          <w:color w:val="434343"/>
          <w:sz w:val="17"/>
        </w:rPr>
        <w:t>}</w:t>
      </w:r>
    </w:p>
    <w:p>
      <w:pPr>
        <w:pStyle w:val="Heading3"/>
      </w:pPr>
      <w:r>
        <w:rPr>
          <w:rFonts w:ascii="Arial" w:hAnsi="Arial"/>
          <w:b w:val="0"/>
          <w:i w:val="0"/>
          <w:color w:val="434343"/>
          <w:sz w:val="28"/>
        </w:rPr>
        <w:t>Product versions</w:t>
      </w:r>
    </w:p>
    <w:p>
      <w:pPr>
        <w:pStyle w:val="ListBullet"/>
        <w:keepLines/>
        <w:spacing w:after="80" w:line="276" w:lineRule="auto"/>
        <w:ind w:left="720" w:hanging="360"/>
      </w:pPr>
      <w:r>
        <w:rPr>
          <w:rFonts w:ascii="Courier New" w:hAnsi="Courier New"/>
          <w:b w:val="0"/>
          <w:i w:val="0"/>
          <w:color w:val="000000"/>
          <w:sz w:val="20"/>
        </w:rPr>
        <w:t>GET /api/v1/products/:productId/versions</w:t>
      </w:r>
    </w:p>
    <w:p>
      <w:pPr>
        <w:pStyle w:val="ListBullet"/>
        <w:keepLines/>
        <w:spacing w:after="80" w:line="276" w:lineRule="auto"/>
        <w:ind w:left="720" w:hanging="360"/>
      </w:pPr>
      <w:r>
        <w:rPr>
          <w:rFonts w:ascii="Courier New" w:hAnsi="Courier New"/>
          <w:b w:val="0"/>
          <w:i w:val="0"/>
          <w:color w:val="000000"/>
          <w:sz w:val="20"/>
        </w:rPr>
        <w:t>POST /api/v1/products/:productId/versions</w:t>
      </w:r>
    </w:p>
    <w:p>
      <w:pPr>
        <w:pStyle w:val="ListBullet"/>
        <w:keepLines/>
        <w:spacing w:after="80" w:line="276" w:lineRule="auto"/>
        <w:ind w:left="720" w:hanging="360"/>
      </w:pPr>
      <w:r>
        <w:rPr>
          <w:rFonts w:ascii="Courier New" w:hAnsi="Courier New"/>
          <w:b w:val="0"/>
          <w:i w:val="0"/>
          <w:color w:val="000000"/>
          <w:sz w:val="20"/>
        </w:rPr>
        <w:t>GET /api/v1/products/:productId/versions/:versionId</w:t>
      </w:r>
    </w:p>
    <w:p>
      <w:pPr>
        <w:pStyle w:val="ListBullet"/>
        <w:keepLines/>
        <w:spacing w:after="80" w:line="276" w:lineRule="auto"/>
        <w:ind w:left="720" w:hanging="360"/>
      </w:pPr>
      <w:r>
        <w:rPr>
          <w:rFonts w:ascii="Courier New" w:hAnsi="Courier New"/>
          <w:b w:val="0"/>
          <w:i w:val="0"/>
          <w:color w:val="000000"/>
          <w:sz w:val="20"/>
        </w:rPr>
        <w:t>PUT /api/v1/products/:productId/versions/:versionId</w:t>
      </w:r>
    </w:p>
    <w:p>
      <w:pPr>
        <w:pStyle w:val="ListBullet"/>
        <w:keepLines/>
        <w:spacing w:after="80" w:line="276" w:lineRule="auto"/>
        <w:ind w:left="720" w:hanging="360"/>
      </w:pPr>
      <w:r>
        <w:rPr>
          <w:rFonts w:ascii="Courier New" w:hAnsi="Courier New"/>
          <w:b w:val="0"/>
          <w:i w:val="0"/>
          <w:color w:val="000000"/>
          <w:sz w:val="20"/>
        </w:rPr>
        <w:t>DELETE /api/v1/products/:productId/versions/:versionId</w:t>
      </w:r>
    </w:p>
    <w:p>
      <w:pPr>
        <w:pStyle w:val="ListBullet"/>
        <w:keepLines/>
        <w:spacing w:after="80" w:line="276" w:lineRule="auto"/>
        <w:ind w:left="720" w:hanging="360"/>
      </w:pPr>
      <w:r>
        <w:rPr>
          <w:rFonts w:ascii="Courier New" w:hAnsi="Courier New"/>
          <w:b w:val="0"/>
          <w:i w:val="0"/>
          <w:color w:val="000000"/>
          <w:sz w:val="20"/>
        </w:rPr>
        <w:t>POST /api/v1/products/:productId/versions/:versionId/set-primary</w:t>
      </w:r>
    </w:p>
    <w:p>
      <w:pPr>
        <w:keepLines/>
        <w:spacing w:before="0" w:after="160" w:line="276" w:lineRule="auto"/>
      </w:pPr>
      <w:r>
        <w:rPr>
          <w:rFonts w:ascii="Arial" w:hAnsi="Arial"/>
          <w:b w:val="0"/>
          <w:i w:val="0"/>
          <w:color w:val="000000"/>
          <w:sz w:val="22"/>
        </w:rPr>
        <w:t xml:space="preserve">Product list responses include </w:t>
      </w:r>
      <w:r>
        <w:rPr>
          <w:rFonts w:ascii="Arial" w:hAnsi="Arial"/>
          <w:b w:val="0"/>
          <w:i w:val="0"/>
          <w:color w:val="000000"/>
          <w:sz w:val="22"/>
        </w:rPr>
        <w:t>primaryVersion</w:t>
      </w:r>
      <w:r>
        <w:rPr>
          <w:rFonts w:ascii="Arial" w:hAnsi="Arial"/>
          <w:b w:val="0"/>
          <w:i w:val="0"/>
          <w:color w:val="000000"/>
          <w:sz w:val="22"/>
        </w:rPr>
        <w:t xml:space="preserve"> and </w:t>
      </w:r>
      <w:r>
        <w:rPr>
          <w:rFonts w:ascii="Arial" w:hAnsi="Arial"/>
          <w:b w:val="0"/>
          <w:i w:val="0"/>
          <w:color w:val="000000"/>
          <w:sz w:val="22"/>
        </w:rPr>
        <w:t>versionCount</w:t>
      </w:r>
      <w:r>
        <w:rPr>
          <w:rFonts w:ascii="Arial" w:hAnsi="Arial"/>
          <w:b w:val="0"/>
          <w:i w:val="0"/>
          <w:color w:val="000000"/>
          <w:sz w:val="22"/>
        </w:rPr>
        <w:t>. Product creation accepts parent-product data plus an initial-version payload.</w:t>
      </w:r>
    </w:p>
    <w:p>
      <w:pPr>
        <w:pStyle w:val="Heading3"/>
      </w:pPr>
      <w:r>
        <w:rPr>
          <w:rFonts w:ascii="Arial" w:hAnsi="Arial"/>
          <w:b w:val="0"/>
          <w:i w:val="0"/>
          <w:color w:val="434343"/>
          <w:sz w:val="28"/>
        </w:rPr>
        <w:t>Universal search</w:t>
      </w:r>
    </w:p>
    <w:p>
      <w:pPr>
        <w:pStyle w:val="ListBullet"/>
        <w:keepLines/>
        <w:spacing w:after="80" w:line="276" w:lineRule="auto"/>
        <w:ind w:left="720" w:hanging="360"/>
      </w:pPr>
      <w:r>
        <w:rPr>
          <w:rFonts w:ascii="Courier New" w:hAnsi="Courier New"/>
          <w:b w:val="0"/>
          <w:i w:val="0"/>
          <w:color w:val="000000"/>
          <w:sz w:val="20"/>
        </w:rPr>
        <w:t>GET /api/v1/search?q=&amp;types=PRODUCT,CATEGORY,TEMPLATE&amp;limitPerType=5</w:t>
      </w:r>
    </w:p>
    <w:p>
      <w:pPr>
        <w:pStyle w:val="ListBullet"/>
        <w:keepLines/>
        <w:spacing w:after="80" w:line="276" w:lineRule="auto"/>
        <w:ind w:left="720" w:hanging="360"/>
      </w:pPr>
      <w:r>
        <w:rPr>
          <w:rFonts w:ascii="Courier New" w:hAnsi="Courier New"/>
          <w:b w:val="0"/>
          <w:i w:val="0"/>
          <w:color w:val="000000"/>
          <w:sz w:val="20"/>
        </w:rPr>
        <w:t>GET /api/v1/search?q=&amp;type=PRODUCT&amp;page=1&amp;limit=20</w:t>
      </w:r>
    </w:p>
    <w:p>
      <w:pPr>
        <w:spacing w:before="60" w:after="160" w:line="240" w:lineRule="auto"/>
        <w:ind w:left="288" w:right="288"/>
      </w:pPr>
      <w:r>
        <w:rPr>
          <w:rFonts w:ascii="Courier New" w:hAnsi="Courier New"/>
          <w:b w:val="0"/>
          <w:i w:val="0"/>
          <w:color w:val="434343"/>
          <w:sz w:val="17"/>
        </w:rPr>
        <w:t>type SearchResultType = 'PRODUCT' | 'CATEGORY' | 'TEMPLATE';</w:t>
      </w:r>
      <w:r>
        <w:br/>
      </w:r>
      <w:r>
        <w:rPr>
          <w:rFonts w:ascii="Courier New" w:hAnsi="Courier New"/>
          <w:b w:val="0"/>
          <w:i w:val="0"/>
          <w:color w:val="434343"/>
          <w:sz w:val="17"/>
        </w:rPr>
      </w:r>
      <w:r>
        <w:br/>
      </w:r>
      <w:r>
        <w:rPr>
          <w:rFonts w:ascii="Courier New" w:hAnsi="Courier New"/>
          <w:b w:val="0"/>
          <w:i w:val="0"/>
          <w:color w:val="434343"/>
          <w:sz w:val="17"/>
        </w:rPr>
        <w:t>interface UniversalSearchResult {</w:t>
      </w:r>
      <w:r>
        <w:br/>
      </w:r>
      <w:r>
        <w:rPr>
          <w:rFonts w:ascii="Courier New" w:hAnsi="Courier New"/>
          <w:b w:val="0"/>
          <w:i w:val="0"/>
          <w:color w:val="434343"/>
          <w:sz w:val="17"/>
        </w:rPr>
        <w:t xml:space="preserve">  type: SearchResultType;</w:t>
      </w:r>
      <w:r>
        <w:br/>
      </w:r>
      <w:r>
        <w:rPr>
          <w:rFonts w:ascii="Courier New" w:hAnsi="Courier New"/>
          <w:b w:val="0"/>
          <w:i w:val="0"/>
          <w:color w:val="434343"/>
          <w:sz w:val="17"/>
        </w:rPr>
        <w:t xml:space="preserve">  id: string;</w:t>
      </w:r>
      <w:r>
        <w:br/>
      </w:r>
      <w:r>
        <w:rPr>
          <w:rFonts w:ascii="Courier New" w:hAnsi="Courier New"/>
          <w:b w:val="0"/>
          <w:i w:val="0"/>
          <w:color w:val="434343"/>
          <w:sz w:val="17"/>
        </w:rPr>
        <w:t xml:space="preserve">  title: string;</w:t>
      </w:r>
      <w:r>
        <w:br/>
      </w:r>
      <w:r>
        <w:rPr>
          <w:rFonts w:ascii="Courier New" w:hAnsi="Courier New"/>
          <w:b w:val="0"/>
          <w:i w:val="0"/>
          <w:color w:val="434343"/>
          <w:sz w:val="17"/>
        </w:rPr>
        <w:t xml:space="preserve">  subtitle: string;</w:t>
      </w:r>
      <w:r>
        <w:br/>
      </w:r>
      <w:r>
        <w:rPr>
          <w:rFonts w:ascii="Courier New" w:hAnsi="Courier New"/>
          <w:b w:val="0"/>
          <w:i w:val="0"/>
          <w:color w:val="434343"/>
          <w:sz w:val="17"/>
        </w:rPr>
        <w:t xml:space="preserve">  href: string;</w:t>
      </w:r>
      <w:r>
        <w:br/>
      </w:r>
      <w:r>
        <w:rPr>
          <w:rFonts w:ascii="Courier New" w:hAnsi="Courier New"/>
          <w:b w:val="0"/>
          <w:i w:val="0"/>
          <w:color w:val="434343"/>
          <w:sz w:val="17"/>
        </w:rPr>
        <w:t xml:space="preserve">  status?: ProductStatus;</w:t>
      </w:r>
      <w:r>
        <w:br/>
      </w:r>
      <w:r>
        <w:rPr>
          <w:rFonts w:ascii="Courier New" w:hAnsi="Courier New"/>
          <w:b w:val="0"/>
          <w:i w:val="0"/>
          <w:color w:val="434343"/>
          <w:sz w:val="17"/>
        </w:rPr>
        <w:t xml:space="preserve">  imageUrl?: string | null;</w:t>
      </w:r>
      <w:r>
        <w:br/>
      </w:r>
      <w:r>
        <w:rPr>
          <w:rFonts w:ascii="Courier New" w:hAnsi="Courier New"/>
          <w:b w:val="0"/>
          <w:i w:val="0"/>
          <w:color w:val="434343"/>
          <w:sz w:val="17"/>
        </w:rPr>
        <w:t xml:space="preserve">  versionId?: string;</w:t>
      </w:r>
      <w:r>
        <w:br/>
      </w:r>
      <w:r>
        <w:rPr>
          <w:rFonts w:ascii="Courier New" w:hAnsi="Courier New"/>
          <w:b w:val="0"/>
          <w:i w:val="0"/>
          <w:color w:val="434343"/>
          <w:sz w:val="17"/>
        </w:rPr>
        <w:t xml:space="preserve">  matchedOn?: string;</w:t>
      </w:r>
      <w:r>
        <w:br/>
      </w:r>
      <w:r>
        <w:rPr>
          <w:rFonts w:ascii="Courier New" w:hAnsi="Courier New"/>
          <w:b w:val="0"/>
          <w:i w:val="0"/>
          <w:color w:val="434343"/>
          <w:sz w:val="17"/>
        </w:rPr>
        <w:t>}</w:t>
      </w:r>
    </w:p>
    <w:p>
      <w:pPr>
        <w:pStyle w:val="Heading2"/>
      </w:pPr>
      <w:r>
        <w:rPr>
          <w:rFonts w:ascii="Arial" w:hAnsi="Arial"/>
          <w:b w:val="0"/>
          <w:i w:val="0"/>
          <w:color w:val="000000"/>
          <w:sz w:val="32"/>
        </w:rPr>
        <w:t>11. CSV completion scope</w:t>
      </w:r>
    </w:p>
    <w:p>
      <w:pPr>
        <w:pStyle w:val="ListBullet"/>
        <w:keepLines/>
        <w:spacing w:after="80" w:line="276" w:lineRule="auto"/>
        <w:ind w:left="720" w:hanging="360"/>
      </w:pPr>
      <w:r>
        <w:rPr>
          <w:rFonts w:ascii="Arial" w:hAnsi="Arial"/>
          <w:b w:val="0"/>
          <w:i w:val="0"/>
          <w:color w:val="000000"/>
          <w:sz w:val="22"/>
        </w:rPr>
        <w:t>Accept category code or unambiguous category name instead of internal UUIDs.</w:t>
      </w:r>
    </w:p>
    <w:p>
      <w:pPr>
        <w:pStyle w:val="ListBullet"/>
        <w:keepLines/>
        <w:spacing w:after="80" w:line="276" w:lineRule="auto"/>
        <w:ind w:left="720" w:hanging="360"/>
      </w:pPr>
      <w:r>
        <w:rPr>
          <w:rFonts w:ascii="Arial" w:hAnsi="Arial"/>
          <w:b w:val="0"/>
          <w:i w:val="0"/>
          <w:color w:val="000000"/>
          <w:sz w:val="22"/>
        </w:rPr>
        <w:t>Include product name, version label, product status, version status, SKU, barcode, characteristics, and primary flag.</w:t>
      </w:r>
    </w:p>
    <w:p>
      <w:pPr>
        <w:pStyle w:val="ListBullet"/>
        <w:keepLines/>
        <w:spacing w:after="80" w:line="276" w:lineRule="auto"/>
        <w:ind w:left="720" w:hanging="360"/>
      </w:pPr>
      <w:r>
        <w:rPr>
          <w:rFonts w:ascii="Arial" w:hAnsi="Arial"/>
          <w:b w:val="0"/>
          <w:i w:val="0"/>
          <w:color w:val="000000"/>
          <w:sz w:val="22"/>
        </w:rPr>
        <w:t>Enforce the three lifecycle states independently for products and versions.</w:t>
      </w:r>
    </w:p>
    <w:p>
      <w:pPr>
        <w:pStyle w:val="ListBullet"/>
        <w:keepLines/>
        <w:spacing w:after="80" w:line="276" w:lineRule="auto"/>
        <w:ind w:left="720" w:hanging="360"/>
      </w:pPr>
      <w:r>
        <w:rPr>
          <w:rFonts w:ascii="Arial" w:hAnsi="Arial"/>
          <w:b w:val="0"/>
          <w:i w:val="0"/>
          <w:color w:val="000000"/>
          <w:sz w:val="22"/>
        </w:rPr>
        <w:t>Limit imports to 5 MB and 1,000 rows.</w:t>
      </w:r>
    </w:p>
    <w:p>
      <w:pPr>
        <w:pStyle w:val="ListBullet"/>
        <w:keepLines/>
        <w:spacing w:after="80" w:line="276" w:lineRule="auto"/>
        <w:ind w:left="720" w:hanging="360"/>
      </w:pPr>
      <w:r>
        <w:rPr>
          <w:rFonts w:ascii="Arial" w:hAnsi="Arial"/>
          <w:b w:val="0"/>
          <w:i w:val="0"/>
          <w:color w:val="000000"/>
          <w:sz w:val="22"/>
        </w:rPr>
        <w:t>Return stable row-level errors for category, identifier, status, ownership, and characteristic failures.</w:t>
      </w:r>
    </w:p>
    <w:p>
      <w:pPr>
        <w:pStyle w:val="ListBullet"/>
        <w:keepLines/>
        <w:spacing w:after="80" w:line="276" w:lineRule="auto"/>
        <w:ind w:left="720" w:hanging="360"/>
      </w:pPr>
      <w:r>
        <w:rPr>
          <w:rFonts w:ascii="Arial" w:hAnsi="Arial"/>
          <w:b w:val="0"/>
          <w:i w:val="0"/>
          <w:color w:val="000000"/>
          <w:sz w:val="22"/>
        </w:rPr>
        <w:t>Export primary and secondary versions.</w:t>
      </w:r>
    </w:p>
    <w:p>
      <w:pPr>
        <w:pStyle w:val="ListBullet"/>
        <w:keepLines/>
        <w:spacing w:after="80" w:line="276" w:lineRule="auto"/>
        <w:ind w:left="720" w:hanging="360"/>
      </w:pPr>
      <w:r>
        <w:rPr>
          <w:rFonts w:ascii="Arial" w:hAnsi="Arial"/>
          <w:b w:val="0"/>
          <w:i w:val="0"/>
          <w:color w:val="000000"/>
          <w:sz w:val="22"/>
        </w:rPr>
        <w:t>Keep processing synchronous for this small-vendor release.</w:t>
      </w:r>
    </w:p>
    <w:p>
      <w:pPr>
        <w:pStyle w:val="Heading2"/>
      </w:pPr>
      <w:r>
        <w:rPr>
          <w:rFonts w:ascii="Arial" w:hAnsi="Arial"/>
          <w:b w:val="0"/>
          <w:i w:val="0"/>
          <w:color w:val="000000"/>
          <w:sz w:val="32"/>
        </w:rPr>
        <w:t>12. Platform identity and subscription model</w:t>
      </w:r>
    </w:p>
    <w:p>
      <w:pPr>
        <w:pStyle w:val="Heading3"/>
      </w:pPr>
      <w:r>
        <w:rPr>
          <w:rFonts w:ascii="Arial" w:hAnsi="Arial"/>
          <w:b w:val="0"/>
          <w:i w:val="0"/>
          <w:color w:val="434343"/>
          <w:sz w:val="28"/>
        </w:rPr>
        <w:t>Domain relationships</w:t>
      </w:r>
    </w:p>
    <w:p>
      <w:pPr>
        <w:spacing w:before="60" w:after="160" w:line="240" w:lineRule="auto"/>
        <w:ind w:left="288" w:right="288"/>
      </w:pPr>
      <w:r>
        <w:rPr>
          <w:rFonts w:ascii="Courier New" w:hAnsi="Courier New"/>
          <w:b w:val="0"/>
          <w:i w:val="0"/>
          <w:color w:val="434343"/>
          <w:sz w:val="17"/>
        </w:rPr>
        <w:t>User</w:t>
      </w:r>
      <w:r>
        <w:br/>
      </w:r>
      <w:r>
        <w:rPr>
          <w:rFonts w:ascii="Courier New" w:hAnsi="Courier New"/>
          <w:b w:val="0"/>
          <w:i w:val="0"/>
          <w:color w:val="434343"/>
          <w:sz w:val="17"/>
        </w:rPr>
        <w:t xml:space="preserve">  -&gt; OrganizationMembership</w:t>
      </w:r>
      <w:r>
        <w:br/>
      </w:r>
      <w:r>
        <w:rPr>
          <w:rFonts w:ascii="Courier New" w:hAnsi="Courier New"/>
          <w:b w:val="0"/>
          <w:i w:val="0"/>
          <w:color w:val="434343"/>
          <w:sz w:val="17"/>
        </w:rPr>
        <w:t xml:space="preserve">       -&gt; Organization</w:t>
      </w:r>
      <w:r>
        <w:br/>
      </w:r>
      <w:r>
        <w:rPr>
          <w:rFonts w:ascii="Courier New" w:hAnsi="Courier New"/>
          <w:b w:val="0"/>
          <w:i w:val="0"/>
          <w:color w:val="434343"/>
          <w:sz w:val="17"/>
        </w:rPr>
        <w:t xml:space="preserve">            -&gt; OrganizationPortalSubscription</w:t>
      </w:r>
      <w:r>
        <w:br/>
      </w:r>
      <w:r>
        <w:rPr>
          <w:rFonts w:ascii="Courier New" w:hAnsi="Courier New"/>
          <w:b w:val="0"/>
          <w:i w:val="0"/>
          <w:color w:val="434343"/>
          <w:sz w:val="17"/>
        </w:rPr>
        <w:t xml:space="preserve">            -&gt; MemberPortalAccess</w:t>
      </w:r>
      <w:r>
        <w:br/>
      </w:r>
      <w:r>
        <w:rPr>
          <w:rFonts w:ascii="Courier New" w:hAnsi="Courier New"/>
          <w:b w:val="0"/>
          <w:i w:val="0"/>
          <w:color w:val="434343"/>
          <w:sz w:val="17"/>
        </w:rPr>
        <w:t xml:space="preserve">            -&gt; VendorProfile</w:t>
      </w:r>
      <w:r>
        <w:br/>
      </w:r>
      <w:r>
        <w:rPr>
          <w:rFonts w:ascii="Courier New" w:hAnsi="Courier New"/>
          <w:b w:val="0"/>
          <w:i w:val="0"/>
          <w:color w:val="434343"/>
          <w:sz w:val="17"/>
        </w:rPr>
        <w:t xml:space="preserve">                 -&gt; Products, versions, categories, templates, media, imports and exports</w:t>
      </w:r>
    </w:p>
    <w:p>
      <w:pPr>
        <w:keepLines/>
        <w:spacing w:before="0" w:after="160" w:line="276" w:lineRule="auto"/>
      </w:pPr>
      <w:r>
        <w:rPr>
          <w:rFonts w:ascii="Arial" w:hAnsi="Arial"/>
          <w:b w:val="0"/>
          <w:i w:val="0"/>
          <w:color w:val="000000"/>
          <w:sz w:val="22"/>
        </w:rPr>
        <w:t>A User is a person. An Organization owns subscriptions to application portals. A membership connects the User to the Organization. A portal subscription enables the Organization to use a portal. Member Portal Access enables a non-owner member to enter that subscribed portal. A Vendor Profile is the producer identity and owns Vendor Portal data; it is not the Organization itself.</w:t>
      </w:r>
    </w:p>
    <w:p>
      <w:pPr>
        <w:keepLines/>
        <w:spacing w:before="0" w:after="160" w:line="276" w:lineRule="auto"/>
      </w:pPr>
      <w:r>
        <w:rPr>
          <w:rFonts w:ascii="Arial" w:hAnsi="Arial"/>
          <w:b w:val="0"/>
          <w:i w:val="0"/>
          <w:color w:val="000000"/>
          <w:sz w:val="22"/>
        </w:rPr>
        <w:t>Registration creates a User, Organization, Owner membership, active Vendor Portal subscription, Owner access, and primary Vendor Profile in one transaction. Owners implicitly access every active subscription their Organization owns. Invited members require explicit Vendor Portal access. The last Owner cannot be removed, demoted, or locked out.</w:t>
      </w:r>
    </w:p>
    <w:p>
      <w:pPr>
        <w:keepLines/>
        <w:spacing w:before="0" w:after="160" w:line="276" w:lineRule="auto"/>
      </w:pPr>
      <w:r>
        <w:rPr>
          <w:rFonts w:ascii="Arial" w:hAnsi="Arial"/>
          <w:b w:val="0"/>
          <w:i w:val="0"/>
          <w:color w:val="000000"/>
          <w:sz w:val="22"/>
        </w:rPr>
        <w:t xml:space="preserve">The first release seeds only the stable </w:t>
      </w:r>
      <w:r>
        <w:rPr>
          <w:rFonts w:ascii="Arial" w:hAnsi="Arial"/>
          <w:b w:val="0"/>
          <w:i w:val="0"/>
          <w:color w:val="000000"/>
          <w:sz w:val="22"/>
        </w:rPr>
        <w:t>vendor</w:t>
      </w:r>
      <w:r>
        <w:rPr>
          <w:rFonts w:ascii="Arial" w:hAnsi="Arial"/>
          <w:b w:val="0"/>
          <w:i w:val="0"/>
          <w:color w:val="000000"/>
          <w:sz w:val="22"/>
        </w:rPr>
        <w:t xml:space="preserve"> portal key. Subscription status is </w:t>
      </w:r>
      <w:r>
        <w:rPr>
          <w:rFonts w:ascii="Arial" w:hAnsi="Arial"/>
          <w:b w:val="0"/>
          <w:i w:val="0"/>
          <w:color w:val="000000"/>
          <w:sz w:val="22"/>
        </w:rPr>
        <w:t>ACTIVE</w:t>
      </w:r>
      <w:r>
        <w:rPr>
          <w:rFonts w:ascii="Arial" w:hAnsi="Arial"/>
          <w:b w:val="0"/>
          <w:i w:val="0"/>
          <w:color w:val="000000"/>
          <w:sz w:val="22"/>
        </w:rPr>
        <w:t xml:space="preserve">, </w:t>
      </w:r>
      <w:r>
        <w:rPr>
          <w:rFonts w:ascii="Arial" w:hAnsi="Arial"/>
          <w:b w:val="0"/>
          <w:i w:val="0"/>
          <w:color w:val="000000"/>
          <w:sz w:val="22"/>
        </w:rPr>
        <w:t>SUSPENDED</w:t>
      </w:r>
      <w:r>
        <w:rPr>
          <w:rFonts w:ascii="Arial" w:hAnsi="Arial"/>
          <w:b w:val="0"/>
          <w:i w:val="0"/>
          <w:color w:val="000000"/>
          <w:sz w:val="22"/>
        </w:rPr>
        <w:t xml:space="preserve">, or </w:t>
      </w:r>
      <w:r>
        <w:rPr>
          <w:rFonts w:ascii="Arial" w:hAnsi="Arial"/>
          <w:b w:val="0"/>
          <w:i w:val="0"/>
          <w:color w:val="000000"/>
          <w:sz w:val="22"/>
        </w:rPr>
        <w:t>CANCELLED</w:t>
      </w:r>
      <w:r>
        <w:rPr>
          <w:rFonts w:ascii="Arial" w:hAnsi="Arial"/>
          <w:b w:val="0"/>
          <w:i w:val="0"/>
          <w:color w:val="000000"/>
          <w:sz w:val="22"/>
        </w:rPr>
        <w:t>, with start and optional end dates. Subscription records are entitlements rather than billing records. Plans, checkout, invoices, taxes, renewals, and payment-provider webhooks are deferred.</w:t>
      </w:r>
    </w:p>
    <w:p>
      <w:pPr>
        <w:keepLines/>
        <w:spacing w:before="0" w:after="160" w:line="276" w:lineRule="auto"/>
      </w:pPr>
      <w:r>
        <w:rPr>
          <w:rFonts w:ascii="Arial" w:hAnsi="Arial"/>
          <w:b w:val="0"/>
          <w:i w:val="0"/>
          <w:color w:val="000000"/>
          <w:sz w:val="22"/>
        </w:rPr>
        <w:t xml:space="preserve">The schema permits future Vendor Profile keys, but this release accepts only </w:t>
      </w:r>
      <w:r>
        <w:rPr>
          <w:rFonts w:ascii="Arial" w:hAnsi="Arial"/>
          <w:b w:val="0"/>
          <w:i w:val="0"/>
          <w:color w:val="000000"/>
          <w:sz w:val="22"/>
        </w:rPr>
        <w:t>primary</w:t>
      </w:r>
      <w:r>
        <w:rPr>
          <w:rFonts w:ascii="Arial" w:hAnsi="Arial"/>
          <w:b w:val="0"/>
          <w:i w:val="0"/>
          <w:color w:val="000000"/>
          <w:sz w:val="22"/>
        </w:rPr>
        <w:t xml:space="preserve">. The database enforces uniqueness of </w:t>
      </w:r>
      <w:r>
        <w:rPr>
          <w:rFonts w:ascii="Arial" w:hAnsi="Arial"/>
          <w:b w:val="0"/>
          <w:i w:val="0"/>
          <w:color w:val="000000"/>
          <w:sz w:val="22"/>
        </w:rPr>
        <w:t>organizationId + profileKey</w:t>
      </w:r>
      <w:r>
        <w:rPr>
          <w:rFonts w:ascii="Arial" w:hAnsi="Arial"/>
          <w:b w:val="0"/>
          <w:i w:val="0"/>
          <w:color w:val="000000"/>
          <w:sz w:val="22"/>
        </w:rPr>
        <w:t>, and the service rejects a second primary profile or any other profile key. Later one-to-many support can add profile keys and profile-specific access without redesigning Organization ownership.</w:t>
      </w:r>
    </w:p>
    <w:p>
      <w:pPr>
        <w:pStyle w:val="Heading3"/>
      </w:pPr>
      <w:r>
        <w:rPr>
          <w:rFonts w:ascii="Arial" w:hAnsi="Arial"/>
          <w:b w:val="0"/>
          <w:i w:val="0"/>
          <w:color w:val="434343"/>
          <w:sz w:val="28"/>
        </w:rPr>
        <w:t>Authorization context</w:t>
      </w:r>
    </w:p>
    <w:p>
      <w:pPr>
        <w:keepLines/>
        <w:spacing w:before="0" w:after="160" w:line="276" w:lineRule="auto"/>
      </w:pPr>
      <w:r>
        <w:rPr>
          <w:rFonts w:ascii="Arial" w:hAnsi="Arial"/>
          <w:b w:val="0"/>
          <w:i w:val="0"/>
          <w:color w:val="000000"/>
          <w:sz w:val="22"/>
        </w:rPr>
        <w:t xml:space="preserve">Every vendor request resolves an authorization context containing User, Organization membership, active portal subscription, member portal access, and primary Vendor Profile. Catalog queries and mutations scope by </w:t>
      </w:r>
      <w:r>
        <w:rPr>
          <w:rFonts w:ascii="Arial" w:hAnsi="Arial"/>
          <w:b w:val="0"/>
          <w:i w:val="0"/>
          <w:color w:val="000000"/>
          <w:sz w:val="22"/>
        </w:rPr>
        <w:t>vendorProfileId</w:t>
      </w:r>
      <w:r>
        <w:rPr>
          <w:rFonts w:ascii="Arial" w:hAnsi="Arial"/>
          <w:b w:val="0"/>
          <w:i w:val="0"/>
          <w:color w:val="000000"/>
          <w:sz w:val="22"/>
        </w:rPr>
        <w:t>. An authenticated user without an active membership, active subscription, Owner status or explicit access, or access to the resolved profile is denied before domain work begins.</w:t>
      </w:r>
    </w:p>
    <w:p>
      <w:pPr>
        <w:pStyle w:val="Heading2"/>
      </w:pPr>
      <w:r>
        <w:rPr>
          <w:rFonts w:ascii="Arial" w:hAnsi="Arial"/>
          <w:b w:val="0"/>
          <w:i w:val="0"/>
          <w:color w:val="000000"/>
          <w:sz w:val="32"/>
        </w:rPr>
        <w:t>13. Prisma 7 and authentication migration</w:t>
      </w:r>
    </w:p>
    <w:p>
      <w:pPr>
        <w:keepLines/>
        <w:spacing w:before="0" w:after="160" w:line="276" w:lineRule="auto"/>
      </w:pPr>
      <w:r>
        <w:rPr>
          <w:rFonts w:ascii="Arial" w:hAnsi="Arial"/>
          <w:b w:val="0"/>
          <w:i w:val="0"/>
          <w:color w:val="000000"/>
          <w:sz w:val="22"/>
        </w:rPr>
        <w:t xml:space="preserve">Prisma 7 is upgraded before Better Auth tables are added. The database package adopts Node 22 ESM, </w:t>
      </w:r>
      <w:r>
        <w:rPr>
          <w:rFonts w:ascii="Arial" w:hAnsi="Arial"/>
          <w:b w:val="0"/>
          <w:i w:val="0"/>
          <w:color w:val="000000"/>
          <w:sz w:val="22"/>
        </w:rPr>
        <w:t>prisma.config.ts</w:t>
      </w:r>
      <w:r>
        <w:rPr>
          <w:rFonts w:ascii="Arial" w:hAnsi="Arial"/>
          <w:b w:val="0"/>
          <w:i w:val="0"/>
          <w:color w:val="000000"/>
          <w:sz w:val="22"/>
        </w:rPr>
        <w:t xml:space="preserve">, an explicit generated-client output, </w:t>
      </w:r>
      <w:r>
        <w:rPr>
          <w:rFonts w:ascii="Arial" w:hAnsi="Arial"/>
          <w:b w:val="0"/>
          <w:i w:val="0"/>
          <w:color w:val="000000"/>
          <w:sz w:val="22"/>
        </w:rPr>
        <w:t>@prisma/adapter-pg</w:t>
      </w:r>
      <w:r>
        <w:rPr>
          <w:rFonts w:ascii="Arial" w:hAnsi="Arial"/>
          <w:b w:val="0"/>
          <w:i w:val="0"/>
          <w:color w:val="000000"/>
          <w:sz w:val="22"/>
        </w:rPr>
        <w:t>, explicit environment loading, one shared client, explicit pool timeouts, graceful shutdown, and an explicit seed command.</w:t>
      </w:r>
    </w:p>
    <w:p>
      <w:pPr>
        <w:keepLines/>
        <w:spacing w:before="0" w:after="160" w:line="276" w:lineRule="auto"/>
      </w:pPr>
      <w:r>
        <w:rPr>
          <w:rFonts w:ascii="Arial" w:hAnsi="Arial"/>
          <w:b w:val="0"/>
          <w:i w:val="0"/>
          <w:color w:val="000000"/>
          <w:sz w:val="22"/>
        </w:rPr>
        <w:t>The existing Vendor row is split additively:</w:t>
      </w:r>
    </w:p>
    <w:p>
      <w:pPr>
        <w:pStyle w:val="ListNumber"/>
        <w:keepLines/>
        <w:numPr>
          <w:ilvl w:val="0"/>
          <w:numId w:val="11"/>
        </w:numPr>
        <w:spacing w:after="80" w:line="276" w:lineRule="auto"/>
        <w:ind w:left="720" w:hanging="360"/>
      </w:pPr>
      <w:r>
        <w:rPr>
          <w:rFonts w:ascii="Arial" w:hAnsi="Arial"/>
          <w:b w:val="0"/>
          <w:i w:val="0"/>
          <w:color w:val="000000"/>
          <w:sz w:val="22"/>
        </w:rPr>
        <w:t>Email, verification state, and credentials create Better Auth User and Account records.</w:t>
      </w:r>
    </w:p>
    <w:p>
      <w:pPr>
        <w:pStyle w:val="ListNumber"/>
        <w:keepLines/>
        <w:numPr>
          <w:ilvl w:val="0"/>
          <w:numId w:val="11"/>
        </w:numPr>
        <w:spacing w:after="80" w:line="276" w:lineRule="auto"/>
        <w:ind w:left="720" w:hanging="360"/>
      </w:pPr>
      <w:r>
        <w:rPr>
          <w:rFonts w:ascii="Arial" w:hAnsi="Arial"/>
          <w:b w:val="0"/>
          <w:i w:val="0"/>
          <w:color w:val="000000"/>
          <w:sz w:val="22"/>
        </w:rPr>
        <w:t>Company identity creates the Organization and Owner membership.</w:t>
      </w:r>
    </w:p>
    <w:p>
      <w:pPr>
        <w:pStyle w:val="ListNumber"/>
        <w:keepLines/>
        <w:numPr>
          <w:ilvl w:val="0"/>
          <w:numId w:val="11"/>
        </w:numPr>
        <w:spacing w:after="80" w:line="276" w:lineRule="auto"/>
        <w:ind w:left="720" w:hanging="360"/>
      </w:pPr>
      <w:r>
        <w:rPr>
          <w:rFonts w:ascii="Arial" w:hAnsi="Arial"/>
          <w:b w:val="0"/>
          <w:i w:val="0"/>
          <w:color w:val="000000"/>
          <w:sz w:val="22"/>
        </w:rPr>
        <w:t>The Organization receives an active Vendor Portal subscription and Owner access.</w:t>
      </w:r>
    </w:p>
    <w:p>
      <w:pPr>
        <w:pStyle w:val="ListNumber"/>
        <w:keepLines/>
        <w:numPr>
          <w:ilvl w:val="0"/>
          <w:numId w:val="11"/>
        </w:numPr>
        <w:spacing w:after="80" w:line="276" w:lineRule="auto"/>
        <w:ind w:left="720" w:hanging="360"/>
      </w:pPr>
      <w:r>
        <w:rPr>
          <w:rFonts w:ascii="Arial" w:hAnsi="Arial"/>
          <w:b w:val="0"/>
          <w:i w:val="0"/>
          <w:color w:val="000000"/>
          <w:sz w:val="22"/>
        </w:rPr>
        <w:t>The existing Vendor identifier is preserved where practical as the primary Vendor Profile identifier.</w:t>
      </w:r>
    </w:p>
    <w:p>
      <w:pPr>
        <w:pStyle w:val="ListNumber"/>
        <w:keepLines/>
        <w:numPr>
          <w:ilvl w:val="0"/>
          <w:numId w:val="11"/>
        </w:numPr>
        <w:spacing w:after="80" w:line="276" w:lineRule="auto"/>
        <w:ind w:left="720" w:hanging="360"/>
      </w:pPr>
      <w:r>
        <w:rPr>
          <w:rFonts w:ascii="Arial" w:hAnsi="Arial"/>
          <w:b w:val="0"/>
          <w:i w:val="0"/>
          <w:color w:val="000000"/>
          <w:sz w:val="22"/>
        </w:rPr>
        <w:t xml:space="preserve">Products, versions, custom categories, custom templates, media, and imports move from </w:t>
      </w:r>
      <w:r>
        <w:rPr>
          <w:rFonts w:ascii="Courier New" w:hAnsi="Courier New"/>
          <w:b w:val="0"/>
          <w:i w:val="0"/>
          <w:color w:val="000000"/>
          <w:sz w:val="20"/>
        </w:rPr>
        <w:t>vendorId</w:t>
      </w:r>
      <w:r>
        <w:rPr>
          <w:rFonts w:ascii="Arial" w:hAnsi="Arial"/>
          <w:b w:val="0"/>
          <w:i w:val="0"/>
          <w:color w:val="000000"/>
          <w:sz w:val="22"/>
        </w:rPr>
        <w:t xml:space="preserve"> to </w:t>
      </w:r>
      <w:r>
        <w:rPr>
          <w:rFonts w:ascii="Courier New" w:hAnsi="Courier New"/>
          <w:b w:val="0"/>
          <w:i w:val="0"/>
          <w:color w:val="000000"/>
          <w:sz w:val="20"/>
        </w:rPr>
        <w:t>vendorProfileId</w:t>
      </w:r>
      <w:r>
        <w:rPr>
          <w:rFonts w:ascii="Arial" w:hAnsi="Arial"/>
          <w:b w:val="0"/>
          <w:i w:val="0"/>
          <w:color w:val="000000"/>
          <w:sz w:val="22"/>
        </w:rPr>
        <w:t>.</w:t>
      </w:r>
    </w:p>
    <w:p>
      <w:pPr>
        <w:pStyle w:val="ListNumber"/>
        <w:keepLines/>
        <w:numPr>
          <w:ilvl w:val="0"/>
          <w:numId w:val="11"/>
        </w:numPr>
        <w:spacing w:after="80" w:line="276" w:lineRule="auto"/>
        <w:ind w:left="720" w:hanging="360"/>
      </w:pPr>
      <w:r>
        <w:rPr>
          <w:rFonts w:ascii="Arial" w:hAnsi="Arial"/>
          <w:b w:val="0"/>
          <w:i w:val="0"/>
          <w:color w:val="000000"/>
          <w:sz w:val="22"/>
        </w:rPr>
        <w:t>System categories and templates retain nullable profile ownership.</w:t>
      </w:r>
    </w:p>
    <w:p>
      <w:pPr>
        <w:pStyle w:val="ListNumber"/>
        <w:keepLines/>
        <w:numPr>
          <w:ilvl w:val="0"/>
          <w:numId w:val="11"/>
        </w:numPr>
        <w:spacing w:after="80" w:line="276" w:lineRule="auto"/>
        <w:ind w:left="720" w:hanging="360"/>
      </w:pPr>
      <w:r>
        <w:rPr>
          <w:rFonts w:ascii="Arial" w:hAnsi="Arial"/>
          <w:b w:val="0"/>
          <w:i w:val="0"/>
          <w:color w:val="000000"/>
          <w:sz w:val="22"/>
        </w:rPr>
        <w:t>Reads and writes switch to the new context before transitional fields are removed.</w:t>
      </w:r>
    </w:p>
    <w:p>
      <w:pPr>
        <w:keepLines/>
        <w:spacing w:before="0" w:after="160" w:line="276" w:lineRule="auto"/>
      </w:pPr>
      <w:r>
        <w:rPr>
          <w:rFonts w:ascii="Arial" w:hAnsi="Arial"/>
          <w:b w:val="0"/>
          <w:i w:val="0"/>
          <w:color w:val="000000"/>
          <w:sz w:val="22"/>
        </w:rPr>
        <w:t xml:space="preserve">Existing accounts keep their passwords. The cutover revokes legacy sessions and requires a new login. On first successful login, the compatibility verifier validates the existing bcrypt hash and replaces it with the new password hash. Unused legacy reset tokens are invalidated. A temporary </w:t>
      </w:r>
      <w:r>
        <w:rPr>
          <w:rFonts w:ascii="Arial" w:hAnsi="Arial"/>
          <w:b w:val="0"/>
          <w:i w:val="0"/>
          <w:color w:val="000000"/>
          <w:sz w:val="22"/>
        </w:rPr>
        <w:t>/api/v1/auth</w:t>
      </w:r>
      <w:r>
        <w:rPr>
          <w:rFonts w:ascii="Arial" w:hAnsi="Arial"/>
          <w:b w:val="0"/>
          <w:i w:val="0"/>
          <w:color w:val="000000"/>
          <w:sz w:val="22"/>
        </w:rPr>
        <w:t xml:space="preserve"> facade keeps the current frontend working while backend-first PRs merge; it is removed after the new frontend authentication flow is live.</w:t>
      </w:r>
    </w:p>
    <w:p>
      <w:pPr>
        <w:pStyle w:val="Heading2"/>
      </w:pPr>
      <w:r>
        <w:rPr>
          <w:rFonts w:ascii="Arial" w:hAnsi="Arial"/>
          <w:b w:val="0"/>
          <w:i w:val="0"/>
          <w:color w:val="000000"/>
          <w:sz w:val="32"/>
        </w:rPr>
        <w:t>14. Ordered completion roadmap</w:t>
      </w:r>
    </w:p>
    <w:p>
      <w:pPr>
        <w:keepLines/>
        <w:spacing w:before="0" w:after="160" w:line="276" w:lineRule="auto"/>
      </w:pPr>
      <w:r>
        <w:rPr>
          <w:rFonts w:ascii="Arial" w:hAnsi="Arial"/>
          <w:b w:val="0"/>
          <w:i w:val="0"/>
          <w:color w:val="000000"/>
          <w:sz w:val="22"/>
        </w:rPr>
        <w:t xml:space="preserve">Every stage uses a </w:t>
      </w:r>
      <w:r>
        <w:rPr>
          <w:rFonts w:ascii="Arial" w:hAnsi="Arial"/>
          <w:b w:val="0"/>
          <w:i w:val="0"/>
          <w:color w:val="000000"/>
          <w:sz w:val="22"/>
        </w:rPr>
        <w:t>codex/</w:t>
      </w:r>
      <w:r>
        <w:rPr>
          <w:rFonts w:ascii="Arial" w:hAnsi="Arial"/>
          <w:b w:val="0"/>
          <w:i w:val="0"/>
          <w:color w:val="000000"/>
          <w:sz w:val="22"/>
        </w:rPr>
        <w:t xml:space="preserve"> branch and produces a pull request targeting </w:t>
      </w:r>
      <w:r>
        <w:rPr>
          <w:rFonts w:ascii="Arial" w:hAnsi="Arial"/>
          <w:b w:val="0"/>
          <w:i w:val="0"/>
          <w:color w:val="000000"/>
          <w:sz w:val="22"/>
        </w:rPr>
        <w:t>develop</w:t>
      </w:r>
      <w:r>
        <w:rPr>
          <w:rFonts w:ascii="Arial" w:hAnsi="Arial"/>
          <w:b w:val="0"/>
          <w:i w:val="0"/>
          <w:color w:val="000000"/>
          <w:sz w:val="22"/>
        </w:rPr>
        <w:t>. Backend capabilities merge before their dependent frontend work. Pull requests are opened only after their scoped verification passes, are not merged automatically, and merge in numerical order.</w:t>
      </w:r>
    </w:p>
    <w:tbl>
      <w:tblPr>
        <w:tblStyle w:val="TableGrid"/>
        <w:tblW w:type="dxa" w:w="9360"/>
        <w:tblLayout w:type="fixed"/>
        <w:tblLook w:firstColumn="1" w:firstRow="1" w:lastColumn="0" w:lastRow="0" w:noHBand="0" w:noVBand="1" w:val="04A0"/>
        <w:tblBorders>
          <w:top w:val="single" w:sz="2" w:space="0" w:color="DADCE0"/>
          <w:left w:val="single" w:sz="2" w:space="0" w:color="DADCE0"/>
          <w:bottom w:val="single" w:sz="2" w:space="0" w:color="DADCE0"/>
          <w:right w:val="single" w:sz="2" w:space="0" w:color="DADCE0"/>
          <w:insideH w:val="single" w:sz="2" w:space="0" w:color="DADCE0"/>
          <w:insideV w:val="single" w:sz="2" w:space="0" w:color="DADCE0"/>
        </w:tblBorders>
      </w:tblPr>
      <w:tblGrid>
        <w:gridCol w:w="1500"/>
        <w:gridCol w:w="2550"/>
        <w:gridCol w:w="2550"/>
        <w:gridCol w:w="2760"/>
      </w:tblGrid>
      <w:tr>
        <w:trPr>
          <w:tblHeader w:val="true"/>
          <w:cantSplit w:val="true"/>
        </w:trPr>
        <w:tc>
          <w:tcPr>
            <w:tcW w:type="dxa" w:w="1500"/>
            <w:tcMar>
              <w:top w:w="80" w:type="dxa"/>
              <w:start w:w="120" w:type="dxa"/>
              <w:bottom w:w="80" w:type="dxa"/>
              <w:end w:w="120" w:type="dxa"/>
            </w:tcMar>
            <w:vAlign w:val="top"/>
          </w:tcPr>
          <w:p>
            <w:pPr>
              <w:spacing w:before="0" w:after="60" w:line="252" w:lineRule="auto"/>
            </w:pPr>
            <w:r>
              <w:rPr>
                <w:rFonts w:ascii="Arial" w:hAnsi="Arial"/>
                <w:b/>
                <w:i w:val="0"/>
                <w:color w:val="000000"/>
                <w:sz w:val="18"/>
              </w:rPr>
            </w:r>
            <w:r>
              <w:rPr>
                <w:rFonts w:ascii="Arial" w:hAnsi="Arial"/>
                <w:b/>
                <w:i w:val="0"/>
                <w:color w:val="000000"/>
                <w:sz w:val="18"/>
              </w:rPr>
              <w:t>Order</w:t>
            </w:r>
          </w:p>
        </w:tc>
        <w:tc>
          <w:tcPr>
            <w:tcW w:type="dxa" w:w="2550"/>
            <w:tcMar>
              <w:top w:w="80" w:type="dxa"/>
              <w:start w:w="120" w:type="dxa"/>
              <w:bottom w:w="80" w:type="dxa"/>
              <w:end w:w="120" w:type="dxa"/>
            </w:tcMar>
            <w:vAlign w:val="top"/>
          </w:tcPr>
          <w:p>
            <w:pPr>
              <w:spacing w:before="0" w:after="60" w:line="252" w:lineRule="auto"/>
            </w:pPr>
            <w:r>
              <w:rPr>
                <w:rFonts w:ascii="Arial" w:hAnsi="Arial"/>
                <w:b/>
                <w:i w:val="0"/>
                <w:color w:val="000000"/>
                <w:sz w:val="18"/>
              </w:rPr>
            </w:r>
            <w:r>
              <w:rPr>
                <w:rFonts w:ascii="Arial" w:hAnsi="Arial"/>
                <w:b/>
                <w:i w:val="0"/>
                <w:color w:val="000000"/>
                <w:sz w:val="18"/>
              </w:rPr>
              <w:t>Branch</w:t>
            </w:r>
          </w:p>
        </w:tc>
        <w:tc>
          <w:tcPr>
            <w:tcW w:type="dxa" w:w="2550"/>
            <w:tcMar>
              <w:top w:w="80" w:type="dxa"/>
              <w:start w:w="120" w:type="dxa"/>
              <w:bottom w:w="80" w:type="dxa"/>
              <w:end w:w="120" w:type="dxa"/>
            </w:tcMar>
            <w:vAlign w:val="top"/>
          </w:tcPr>
          <w:p>
            <w:pPr>
              <w:spacing w:before="0" w:after="60" w:line="252" w:lineRule="auto"/>
            </w:pPr>
            <w:r>
              <w:rPr>
                <w:rFonts w:ascii="Arial" w:hAnsi="Arial"/>
                <w:b/>
                <w:i w:val="0"/>
                <w:color w:val="000000"/>
                <w:sz w:val="18"/>
              </w:rPr>
            </w:r>
            <w:r>
              <w:rPr>
                <w:rFonts w:ascii="Arial" w:hAnsi="Arial"/>
                <w:b/>
                <w:i w:val="0"/>
                <w:color w:val="000000"/>
                <w:sz w:val="18"/>
              </w:rPr>
              <w:t>Pull request</w:t>
            </w:r>
          </w:p>
        </w:tc>
        <w:tc>
          <w:tcPr>
            <w:tcW w:type="dxa" w:w="2760"/>
            <w:tcMar>
              <w:top w:w="80" w:type="dxa"/>
              <w:start w:w="120" w:type="dxa"/>
              <w:bottom w:w="80" w:type="dxa"/>
              <w:end w:w="120" w:type="dxa"/>
            </w:tcMar>
            <w:vAlign w:val="top"/>
          </w:tcPr>
          <w:p>
            <w:pPr>
              <w:spacing w:before="0" w:after="60" w:line="252" w:lineRule="auto"/>
            </w:pPr>
            <w:r>
              <w:rPr>
                <w:rFonts w:ascii="Arial" w:hAnsi="Arial"/>
                <w:b/>
                <w:i w:val="0"/>
                <w:color w:val="000000"/>
                <w:sz w:val="18"/>
              </w:rPr>
            </w:r>
            <w:r>
              <w:rPr>
                <w:rFonts w:ascii="Arial" w:hAnsi="Arial"/>
                <w:b/>
                <w:i w:val="0"/>
                <w:color w:val="000000"/>
                <w:sz w:val="18"/>
              </w:rPr>
              <w:t>Purpose</w:t>
            </w:r>
          </w:p>
        </w:tc>
      </w:tr>
      <w:tr>
        <w:trPr>
          <w:cantSplit w:val="true"/>
        </w:trPr>
        <w:tc>
          <w:tcPr>
            <w:tcW w:type="dxa" w:w="1500"/>
            <w:tcMar>
              <w:top w:w="80" w:type="dxa"/>
              <w:start w:w="120" w:type="dxa"/>
              <w:bottom w:w="80" w:type="dxa"/>
              <w:end w:w="120" w:type="dxa"/>
            </w:tcMar>
            <w:vAlign w:val="top"/>
          </w:tcPr>
          <w:p>
            <w:pPr>
              <w:spacing w:before="0" w:after="60" w:line="252" w:lineRule="auto"/>
            </w:pPr>
            <w:r>
              <w:rPr>
                <w:rFonts w:ascii="Arial" w:hAnsi="Arial"/>
                <w:b w:val="0"/>
                <w:i w:val="0"/>
                <w:color w:val="000000"/>
                <w:sz w:val="18"/>
              </w:rPr>
            </w:r>
            <w:r>
              <w:rPr>
                <w:rFonts w:ascii="Arial" w:hAnsi="Arial"/>
                <w:b w:val="0"/>
                <w:i w:val="0"/>
                <w:color w:val="000000"/>
                <w:sz w:val="18"/>
              </w:rPr>
              <w:t>00</w:t>
            </w:r>
          </w:p>
        </w:tc>
        <w:tc>
          <w:tcPr>
            <w:tcW w:type="dxa" w:w="2550"/>
            <w:tcMar>
              <w:top w:w="80" w:type="dxa"/>
              <w:start w:w="120" w:type="dxa"/>
              <w:bottom w:w="80" w:type="dxa"/>
              <w:end w:w="120" w:type="dxa"/>
            </w:tcMar>
            <w:vAlign w:val="top"/>
          </w:tcPr>
          <w:p>
            <w:pPr>
              <w:spacing w:before="0" w:after="60" w:line="252" w:lineRule="auto"/>
            </w:pPr>
            <w:r>
              <w:rPr>
                <w:rFonts w:ascii="Arial" w:hAnsi="Arial"/>
                <w:b w:val="0"/>
                <w:i w:val="0"/>
                <w:color w:val="000000"/>
                <w:sz w:val="18"/>
              </w:rPr>
            </w:r>
            <w:r>
              <w:rPr>
                <w:rFonts w:ascii="Arial" w:hAnsi="Arial"/>
                <w:b w:val="0"/>
                <w:i w:val="0"/>
                <w:color w:val="000000"/>
                <w:sz w:val="18"/>
              </w:rPr>
              <w:t>codex/docs-vendor-completion-roadmap</w:t>
            </w:r>
          </w:p>
        </w:tc>
        <w:tc>
          <w:tcPr>
            <w:tcW w:type="dxa" w:w="2550"/>
            <w:tcMar>
              <w:top w:w="80" w:type="dxa"/>
              <w:start w:w="120" w:type="dxa"/>
              <w:bottom w:w="80" w:type="dxa"/>
              <w:end w:w="120" w:type="dxa"/>
            </w:tcMar>
            <w:vAlign w:val="top"/>
          </w:tcPr>
          <w:p>
            <w:pPr>
              <w:spacing w:before="0" w:after="60" w:line="252" w:lineRule="auto"/>
            </w:pPr>
            <w:r>
              <w:rPr>
                <w:rFonts w:ascii="Arial" w:hAnsi="Arial"/>
                <w:b w:val="0"/>
                <w:i w:val="0"/>
                <w:color w:val="000000"/>
                <w:sz w:val="18"/>
              </w:rPr>
            </w:r>
            <w:r>
              <w:rPr>
                <w:rFonts w:ascii="Arial" w:hAnsi="Arial"/>
                <w:b w:val="0"/>
                <w:i w:val="0"/>
                <w:color w:val="000000"/>
                <w:sz w:val="18"/>
              </w:rPr>
              <w:t>docs(vendor): define final Prisma and identity completion roadmap</w:t>
            </w:r>
          </w:p>
        </w:tc>
        <w:tc>
          <w:tcPr>
            <w:tcW w:type="dxa" w:w="2760"/>
            <w:tcMar>
              <w:top w:w="80" w:type="dxa"/>
              <w:start w:w="120" w:type="dxa"/>
              <w:bottom w:w="80" w:type="dxa"/>
              <w:end w:w="120" w:type="dxa"/>
            </w:tcMar>
            <w:vAlign w:val="top"/>
          </w:tcPr>
          <w:p>
            <w:pPr>
              <w:spacing w:before="0" w:after="60" w:line="252" w:lineRule="auto"/>
            </w:pPr>
            <w:r>
              <w:rPr>
                <w:rFonts w:ascii="Arial" w:hAnsi="Arial"/>
                <w:b w:val="0"/>
                <w:i w:val="0"/>
                <w:color w:val="000000"/>
                <w:sz w:val="18"/>
              </w:rPr>
            </w:r>
            <w:r>
              <w:rPr>
                <w:rFonts w:ascii="Arial" w:hAnsi="Arial"/>
                <w:b w:val="0"/>
                <w:i w:val="0"/>
                <w:color w:val="000000"/>
                <w:sz w:val="18"/>
              </w:rPr>
              <w:t>Make this document and the decision log the authoritative completion contract.</w:t>
            </w:r>
          </w:p>
        </w:tc>
      </w:tr>
      <w:tr>
        <w:trPr>
          <w:cantSplit w:val="true"/>
        </w:trPr>
        <w:tc>
          <w:tcPr>
            <w:tcW w:type="dxa" w:w="1500"/>
            <w:tcMar>
              <w:top w:w="80" w:type="dxa"/>
              <w:start w:w="120" w:type="dxa"/>
              <w:bottom w:w="80" w:type="dxa"/>
              <w:end w:w="120" w:type="dxa"/>
            </w:tcMar>
            <w:vAlign w:val="top"/>
          </w:tcPr>
          <w:p>
            <w:pPr>
              <w:spacing w:before="0" w:after="60" w:line="252" w:lineRule="auto"/>
            </w:pPr>
            <w:r>
              <w:rPr>
                <w:rFonts w:ascii="Arial" w:hAnsi="Arial"/>
                <w:b w:val="0"/>
                <w:i w:val="0"/>
                <w:color w:val="000000"/>
                <w:sz w:val="18"/>
              </w:rPr>
            </w:r>
            <w:r>
              <w:rPr>
                <w:rFonts w:ascii="Arial" w:hAnsi="Arial"/>
                <w:b w:val="0"/>
                <w:i w:val="0"/>
                <w:color w:val="000000"/>
                <w:sz w:val="18"/>
              </w:rPr>
              <w:t>01</w:t>
            </w:r>
          </w:p>
        </w:tc>
        <w:tc>
          <w:tcPr>
            <w:tcW w:type="dxa" w:w="2550"/>
            <w:tcMar>
              <w:top w:w="80" w:type="dxa"/>
              <w:start w:w="120" w:type="dxa"/>
              <w:bottom w:w="80" w:type="dxa"/>
              <w:end w:w="120" w:type="dxa"/>
            </w:tcMar>
            <w:vAlign w:val="top"/>
          </w:tcPr>
          <w:p>
            <w:pPr>
              <w:spacing w:before="0" w:after="60" w:line="252" w:lineRule="auto"/>
            </w:pPr>
            <w:r>
              <w:rPr>
                <w:rFonts w:ascii="Arial" w:hAnsi="Arial"/>
                <w:b w:val="0"/>
                <w:i w:val="0"/>
                <w:color w:val="000000"/>
                <w:sz w:val="18"/>
              </w:rPr>
            </w:r>
            <w:r>
              <w:rPr>
                <w:rFonts w:ascii="Arial" w:hAnsi="Arial"/>
                <w:b w:val="0"/>
                <w:i w:val="0"/>
                <w:color w:val="000000"/>
                <w:sz w:val="18"/>
              </w:rPr>
              <w:t>codex/platform-vendor-branch-reconciliation</w:t>
            </w:r>
          </w:p>
        </w:tc>
        <w:tc>
          <w:tcPr>
            <w:tcW w:type="dxa" w:w="2550"/>
            <w:tcMar>
              <w:top w:w="80" w:type="dxa"/>
              <w:start w:w="120" w:type="dxa"/>
              <w:bottom w:w="80" w:type="dxa"/>
              <w:end w:w="120" w:type="dxa"/>
            </w:tcMar>
            <w:vAlign w:val="top"/>
          </w:tcPr>
          <w:p>
            <w:pPr>
              <w:spacing w:before="0" w:after="60" w:line="252" w:lineRule="auto"/>
            </w:pPr>
            <w:r>
              <w:rPr>
                <w:rFonts w:ascii="Arial" w:hAnsi="Arial"/>
                <w:b w:val="0"/>
                <w:i w:val="0"/>
                <w:color w:val="000000"/>
                <w:sz w:val="18"/>
              </w:rPr>
            </w:r>
            <w:r>
              <w:rPr>
                <w:rFonts w:ascii="Arial" w:hAnsi="Arial"/>
                <w:b w:val="0"/>
                <w:i w:val="0"/>
                <w:color w:val="000000"/>
                <w:sz w:val="18"/>
              </w:rPr>
              <w:t>chore(repo): reconcile vendor and frontend architecture branches</w:t>
            </w:r>
          </w:p>
        </w:tc>
        <w:tc>
          <w:tcPr>
            <w:tcW w:type="dxa" w:w="2760"/>
            <w:tcMar>
              <w:top w:w="80" w:type="dxa"/>
              <w:start w:w="120" w:type="dxa"/>
              <w:bottom w:w="80" w:type="dxa"/>
              <w:end w:w="120" w:type="dxa"/>
            </w:tcMar>
            <w:vAlign w:val="top"/>
          </w:tcPr>
          <w:p>
            <w:pPr>
              <w:spacing w:before="0" w:after="60" w:line="252" w:lineRule="auto"/>
            </w:pPr>
            <w:r>
              <w:rPr>
                <w:rFonts w:ascii="Arial" w:hAnsi="Arial"/>
                <w:b w:val="0"/>
                <w:i w:val="0"/>
                <w:color w:val="000000"/>
                <w:sz w:val="18"/>
              </w:rPr>
            </w:r>
            <w:r>
              <w:rPr>
                <w:rFonts w:ascii="Arial" w:hAnsi="Arial"/>
                <w:b w:val="0"/>
                <w:i w:val="0"/>
                <w:color w:val="000000"/>
                <w:sz w:val="18"/>
              </w:rPr>
              <w:t xml:space="preserve">Combine the merged vendor stages with the newer frontend architecture on one trusted </w:t>
            </w:r>
            <w:r>
              <w:rPr>
                <w:rFonts w:ascii="Arial" w:hAnsi="Arial"/>
                <w:b w:val="0"/>
                <w:i w:val="0"/>
                <w:color w:val="000000"/>
                <w:sz w:val="18"/>
              </w:rPr>
              <w:t>develop</w:t>
            </w:r>
            <w:r>
              <w:rPr>
                <w:rFonts w:ascii="Arial" w:hAnsi="Arial"/>
                <w:b w:val="0"/>
                <w:i w:val="0"/>
                <w:color w:val="000000"/>
                <w:sz w:val="18"/>
              </w:rPr>
              <w:t xml:space="preserve"> history.</w:t>
            </w:r>
          </w:p>
        </w:tc>
      </w:tr>
      <w:tr>
        <w:trPr>
          <w:cantSplit w:val="true"/>
        </w:trPr>
        <w:tc>
          <w:tcPr>
            <w:tcW w:type="dxa" w:w="1500"/>
            <w:tcMar>
              <w:top w:w="80" w:type="dxa"/>
              <w:start w:w="120" w:type="dxa"/>
              <w:bottom w:w="80" w:type="dxa"/>
              <w:end w:w="120" w:type="dxa"/>
            </w:tcMar>
            <w:vAlign w:val="top"/>
          </w:tcPr>
          <w:p>
            <w:pPr>
              <w:spacing w:before="0" w:after="60" w:line="252" w:lineRule="auto"/>
            </w:pPr>
            <w:r>
              <w:rPr>
                <w:rFonts w:ascii="Arial" w:hAnsi="Arial"/>
                <w:b w:val="0"/>
                <w:i w:val="0"/>
                <w:color w:val="000000"/>
                <w:sz w:val="18"/>
              </w:rPr>
            </w:r>
            <w:r>
              <w:rPr>
                <w:rFonts w:ascii="Arial" w:hAnsi="Arial"/>
                <w:b w:val="0"/>
                <w:i w:val="0"/>
                <w:color w:val="000000"/>
                <w:sz w:val="18"/>
              </w:rPr>
              <w:t>02</w:t>
            </w:r>
          </w:p>
        </w:tc>
        <w:tc>
          <w:tcPr>
            <w:tcW w:type="dxa" w:w="2550"/>
            <w:tcMar>
              <w:top w:w="80" w:type="dxa"/>
              <w:start w:w="120" w:type="dxa"/>
              <w:bottom w:w="80" w:type="dxa"/>
              <w:end w:w="120" w:type="dxa"/>
            </w:tcMar>
            <w:vAlign w:val="top"/>
          </w:tcPr>
          <w:p>
            <w:pPr>
              <w:spacing w:before="0" w:after="60" w:line="252" w:lineRule="auto"/>
            </w:pPr>
            <w:r>
              <w:rPr>
                <w:rFonts w:ascii="Arial" w:hAnsi="Arial"/>
                <w:b w:val="0"/>
                <w:i w:val="0"/>
                <w:color w:val="000000"/>
                <w:sz w:val="18"/>
              </w:rPr>
            </w:r>
            <w:r>
              <w:rPr>
                <w:rFonts w:ascii="Arial" w:hAnsi="Arial"/>
                <w:b w:val="0"/>
                <w:i w:val="0"/>
                <w:color w:val="000000"/>
                <w:sz w:val="18"/>
              </w:rPr>
              <w:t>codex/backend-vendor-prisma-7</w:t>
            </w:r>
          </w:p>
        </w:tc>
        <w:tc>
          <w:tcPr>
            <w:tcW w:type="dxa" w:w="2550"/>
            <w:tcMar>
              <w:top w:w="80" w:type="dxa"/>
              <w:start w:w="120" w:type="dxa"/>
              <w:bottom w:w="80" w:type="dxa"/>
              <w:end w:w="120" w:type="dxa"/>
            </w:tcMar>
            <w:vAlign w:val="top"/>
          </w:tcPr>
          <w:p>
            <w:pPr>
              <w:spacing w:before="0" w:after="60" w:line="252" w:lineRule="auto"/>
            </w:pPr>
            <w:r>
              <w:rPr>
                <w:rFonts w:ascii="Arial" w:hAnsi="Arial"/>
                <w:b w:val="0"/>
                <w:i w:val="0"/>
                <w:color w:val="000000"/>
                <w:sz w:val="18"/>
              </w:rPr>
            </w:r>
            <w:r>
              <w:rPr>
                <w:rFonts w:ascii="Arial" w:hAnsi="Arial"/>
                <w:b w:val="0"/>
                <w:i w:val="0"/>
                <w:color w:val="000000"/>
                <w:sz w:val="18"/>
              </w:rPr>
              <w:t>chore(database): upgrade vendor platform to Prisma 7</w:t>
            </w:r>
          </w:p>
        </w:tc>
        <w:tc>
          <w:tcPr>
            <w:tcW w:type="dxa" w:w="2760"/>
            <w:tcMar>
              <w:top w:w="80" w:type="dxa"/>
              <w:start w:w="120" w:type="dxa"/>
              <w:bottom w:w="80" w:type="dxa"/>
              <w:end w:w="120" w:type="dxa"/>
            </w:tcMar>
            <w:vAlign w:val="top"/>
          </w:tcPr>
          <w:p>
            <w:pPr>
              <w:spacing w:before="0" w:after="60" w:line="252" w:lineRule="auto"/>
            </w:pPr>
            <w:r>
              <w:rPr>
                <w:rFonts w:ascii="Arial" w:hAnsi="Arial"/>
                <w:b w:val="0"/>
                <w:i w:val="0"/>
                <w:color w:val="000000"/>
                <w:sz w:val="18"/>
              </w:rPr>
            </w:r>
            <w:r>
              <w:rPr>
                <w:rFonts w:ascii="Arial" w:hAnsi="Arial"/>
                <w:b w:val="0"/>
                <w:i w:val="0"/>
                <w:color w:val="000000"/>
                <w:sz w:val="18"/>
              </w:rPr>
              <w:t>Modernize persistence independently before adding authentication models.</w:t>
            </w:r>
          </w:p>
        </w:tc>
      </w:tr>
      <w:tr>
        <w:trPr>
          <w:cantSplit w:val="true"/>
        </w:trPr>
        <w:tc>
          <w:tcPr>
            <w:tcW w:type="dxa" w:w="1500"/>
            <w:tcMar>
              <w:top w:w="80" w:type="dxa"/>
              <w:start w:w="120" w:type="dxa"/>
              <w:bottom w:w="80" w:type="dxa"/>
              <w:end w:w="120" w:type="dxa"/>
            </w:tcMar>
            <w:vAlign w:val="top"/>
          </w:tcPr>
          <w:p>
            <w:pPr>
              <w:spacing w:before="0" w:after="60" w:line="252" w:lineRule="auto"/>
            </w:pPr>
            <w:r>
              <w:rPr>
                <w:rFonts w:ascii="Arial" w:hAnsi="Arial"/>
                <w:b w:val="0"/>
                <w:i w:val="0"/>
                <w:color w:val="000000"/>
                <w:sz w:val="18"/>
              </w:rPr>
            </w:r>
            <w:r>
              <w:rPr>
                <w:rFonts w:ascii="Arial" w:hAnsi="Arial"/>
                <w:b w:val="0"/>
                <w:i w:val="0"/>
                <w:color w:val="000000"/>
                <w:sz w:val="18"/>
              </w:rPr>
              <w:t>03</w:t>
            </w:r>
          </w:p>
        </w:tc>
        <w:tc>
          <w:tcPr>
            <w:tcW w:type="dxa" w:w="2550"/>
            <w:tcMar>
              <w:top w:w="80" w:type="dxa"/>
              <w:start w:w="120" w:type="dxa"/>
              <w:bottom w:w="80" w:type="dxa"/>
              <w:end w:w="120" w:type="dxa"/>
            </w:tcMar>
            <w:vAlign w:val="top"/>
          </w:tcPr>
          <w:p>
            <w:pPr>
              <w:spacing w:before="0" w:after="60" w:line="252" w:lineRule="auto"/>
            </w:pPr>
            <w:r>
              <w:rPr>
                <w:rFonts w:ascii="Arial" w:hAnsi="Arial"/>
                <w:b w:val="0"/>
                <w:i w:val="0"/>
                <w:color w:val="000000"/>
                <w:sz w:val="18"/>
              </w:rPr>
            </w:r>
            <w:r>
              <w:rPr>
                <w:rFonts w:ascii="Arial" w:hAnsi="Arial"/>
                <w:b w:val="0"/>
                <w:i w:val="0"/>
                <w:color w:val="000000"/>
                <w:sz w:val="18"/>
              </w:rPr>
              <w:t>codex/backend-vendor-better-auth</w:t>
            </w:r>
          </w:p>
        </w:tc>
        <w:tc>
          <w:tcPr>
            <w:tcW w:type="dxa" w:w="2550"/>
            <w:tcMar>
              <w:top w:w="80" w:type="dxa"/>
              <w:start w:w="120" w:type="dxa"/>
              <w:bottom w:w="80" w:type="dxa"/>
              <w:end w:w="120" w:type="dxa"/>
            </w:tcMar>
            <w:vAlign w:val="top"/>
          </w:tcPr>
          <w:p>
            <w:pPr>
              <w:spacing w:before="0" w:after="60" w:line="252" w:lineRule="auto"/>
            </w:pPr>
            <w:r>
              <w:rPr>
                <w:rFonts w:ascii="Arial" w:hAnsi="Arial"/>
                <w:b w:val="0"/>
                <w:i w:val="0"/>
                <w:color w:val="000000"/>
                <w:sz w:val="18"/>
              </w:rPr>
            </w:r>
            <w:r>
              <w:rPr>
                <w:rFonts w:ascii="Arial" w:hAnsi="Arial"/>
                <w:b w:val="0"/>
                <w:i w:val="0"/>
                <w:color w:val="000000"/>
                <w:sz w:val="18"/>
              </w:rPr>
              <w:t>feat(auth): add Better Auth users, organizations, and secure sessions</w:t>
            </w:r>
          </w:p>
        </w:tc>
        <w:tc>
          <w:tcPr>
            <w:tcW w:type="dxa" w:w="2760"/>
            <w:tcMar>
              <w:top w:w="80" w:type="dxa"/>
              <w:start w:w="120" w:type="dxa"/>
              <w:bottom w:w="80" w:type="dxa"/>
              <w:end w:w="120" w:type="dxa"/>
            </w:tcMar>
            <w:vAlign w:val="top"/>
          </w:tcPr>
          <w:p>
            <w:pPr>
              <w:spacing w:before="0" w:after="60" w:line="252" w:lineRule="auto"/>
            </w:pPr>
            <w:r>
              <w:rPr>
                <w:rFonts w:ascii="Arial" w:hAnsi="Arial"/>
                <w:b w:val="0"/>
                <w:i w:val="0"/>
                <w:color w:val="000000"/>
                <w:sz w:val="18"/>
              </w:rPr>
            </w:r>
            <w:r>
              <w:rPr>
                <w:rFonts w:ascii="Arial" w:hAnsi="Arial"/>
                <w:b w:val="0"/>
                <w:i w:val="0"/>
                <w:color w:val="000000"/>
                <w:sz w:val="18"/>
              </w:rPr>
              <w:t>Separate people and organizations and provide verified, revocable, MFA-capable authentication.</w:t>
            </w:r>
          </w:p>
        </w:tc>
      </w:tr>
      <w:tr>
        <w:trPr>
          <w:cantSplit w:val="true"/>
        </w:trPr>
        <w:tc>
          <w:tcPr>
            <w:tcW w:type="dxa" w:w="1500"/>
            <w:tcMar>
              <w:top w:w="80" w:type="dxa"/>
              <w:start w:w="120" w:type="dxa"/>
              <w:bottom w:w="80" w:type="dxa"/>
              <w:end w:w="120" w:type="dxa"/>
            </w:tcMar>
            <w:vAlign w:val="top"/>
          </w:tcPr>
          <w:p>
            <w:pPr>
              <w:spacing w:before="0" w:after="60" w:line="252" w:lineRule="auto"/>
            </w:pPr>
            <w:r>
              <w:rPr>
                <w:rFonts w:ascii="Arial" w:hAnsi="Arial"/>
                <w:b w:val="0"/>
                <w:i w:val="0"/>
                <w:color w:val="000000"/>
                <w:sz w:val="18"/>
              </w:rPr>
            </w:r>
            <w:r>
              <w:rPr>
                <w:rFonts w:ascii="Arial" w:hAnsi="Arial"/>
                <w:b w:val="0"/>
                <w:i w:val="0"/>
                <w:color w:val="000000"/>
                <w:sz w:val="18"/>
              </w:rPr>
              <w:t>04</w:t>
            </w:r>
          </w:p>
        </w:tc>
        <w:tc>
          <w:tcPr>
            <w:tcW w:type="dxa" w:w="2550"/>
            <w:tcMar>
              <w:top w:w="80" w:type="dxa"/>
              <w:start w:w="120" w:type="dxa"/>
              <w:bottom w:w="80" w:type="dxa"/>
              <w:end w:w="120" w:type="dxa"/>
            </w:tcMar>
            <w:vAlign w:val="top"/>
          </w:tcPr>
          <w:p>
            <w:pPr>
              <w:spacing w:before="0" w:after="60" w:line="252" w:lineRule="auto"/>
            </w:pPr>
            <w:r>
              <w:rPr>
                <w:rFonts w:ascii="Arial" w:hAnsi="Arial"/>
                <w:b w:val="0"/>
                <w:i w:val="0"/>
                <w:color w:val="000000"/>
                <w:sz w:val="18"/>
              </w:rPr>
            </w:r>
            <w:r>
              <w:rPr>
                <w:rFonts w:ascii="Arial" w:hAnsi="Arial"/>
                <w:b w:val="0"/>
                <w:i w:val="0"/>
                <w:color w:val="000000"/>
                <w:sz w:val="18"/>
              </w:rPr>
              <w:t>codex/backend-vendor-entitlements</w:t>
            </w:r>
          </w:p>
        </w:tc>
        <w:tc>
          <w:tcPr>
            <w:tcW w:type="dxa" w:w="2550"/>
            <w:tcMar>
              <w:top w:w="80" w:type="dxa"/>
              <w:start w:w="120" w:type="dxa"/>
              <w:bottom w:w="80" w:type="dxa"/>
              <w:end w:w="120" w:type="dxa"/>
            </w:tcMar>
            <w:vAlign w:val="top"/>
          </w:tcPr>
          <w:p>
            <w:pPr>
              <w:spacing w:before="0" w:after="60" w:line="252" w:lineRule="auto"/>
            </w:pPr>
            <w:r>
              <w:rPr>
                <w:rFonts w:ascii="Arial" w:hAnsi="Arial"/>
                <w:b w:val="0"/>
                <w:i w:val="0"/>
                <w:color w:val="000000"/>
                <w:sz w:val="18"/>
              </w:rPr>
            </w:r>
            <w:r>
              <w:rPr>
                <w:rFonts w:ascii="Arial" w:hAnsi="Arial"/>
                <w:b w:val="0"/>
                <w:i w:val="0"/>
                <w:color w:val="000000"/>
                <w:sz w:val="18"/>
              </w:rPr>
              <w:t>feat(platform): add portal subscriptions and vendor-profile tenancy</w:t>
            </w:r>
          </w:p>
        </w:tc>
        <w:tc>
          <w:tcPr>
            <w:tcW w:type="dxa" w:w="2760"/>
            <w:tcMar>
              <w:top w:w="80" w:type="dxa"/>
              <w:start w:w="120" w:type="dxa"/>
              <w:bottom w:w="80" w:type="dxa"/>
              <w:end w:w="120" w:type="dxa"/>
            </w:tcMar>
            <w:vAlign w:val="top"/>
          </w:tcPr>
          <w:p>
            <w:pPr>
              <w:spacing w:before="0" w:after="60" w:line="252" w:lineRule="auto"/>
            </w:pPr>
            <w:r>
              <w:rPr>
                <w:rFonts w:ascii="Arial" w:hAnsi="Arial"/>
                <w:b w:val="0"/>
                <w:i w:val="0"/>
                <w:color w:val="000000"/>
                <w:sz w:val="18"/>
              </w:rPr>
            </w:r>
            <w:r>
              <w:rPr>
                <w:rFonts w:ascii="Arial" w:hAnsi="Arial"/>
                <w:b w:val="0"/>
                <w:i w:val="0"/>
                <w:color w:val="000000"/>
                <w:sz w:val="18"/>
              </w:rPr>
              <w:t>Separate portal entitlement from producer identity and migrate catalog ownership safely.</w:t>
            </w:r>
          </w:p>
        </w:tc>
      </w:tr>
      <w:tr>
        <w:trPr>
          <w:cantSplit w:val="true"/>
        </w:trPr>
        <w:tc>
          <w:tcPr>
            <w:tcW w:type="dxa" w:w="1500"/>
            <w:tcMar>
              <w:top w:w="80" w:type="dxa"/>
              <w:start w:w="120" w:type="dxa"/>
              <w:bottom w:w="80" w:type="dxa"/>
              <w:end w:w="120" w:type="dxa"/>
            </w:tcMar>
            <w:vAlign w:val="top"/>
          </w:tcPr>
          <w:p>
            <w:pPr>
              <w:spacing w:before="0" w:after="60" w:line="252" w:lineRule="auto"/>
            </w:pPr>
            <w:r>
              <w:rPr>
                <w:rFonts w:ascii="Arial" w:hAnsi="Arial"/>
                <w:b w:val="0"/>
                <w:i w:val="0"/>
                <w:color w:val="000000"/>
                <w:sz w:val="18"/>
              </w:rPr>
            </w:r>
            <w:r>
              <w:rPr>
                <w:rFonts w:ascii="Arial" w:hAnsi="Arial"/>
                <w:b w:val="0"/>
                <w:i w:val="0"/>
                <w:color w:val="000000"/>
                <w:sz w:val="18"/>
              </w:rPr>
              <w:t>05</w:t>
            </w:r>
          </w:p>
        </w:tc>
        <w:tc>
          <w:tcPr>
            <w:tcW w:type="dxa" w:w="2550"/>
            <w:tcMar>
              <w:top w:w="80" w:type="dxa"/>
              <w:start w:w="120" w:type="dxa"/>
              <w:bottom w:w="80" w:type="dxa"/>
              <w:end w:w="120" w:type="dxa"/>
            </w:tcMar>
            <w:vAlign w:val="top"/>
          </w:tcPr>
          <w:p>
            <w:pPr>
              <w:spacing w:before="0" w:after="60" w:line="252" w:lineRule="auto"/>
            </w:pPr>
            <w:r>
              <w:rPr>
                <w:rFonts w:ascii="Arial" w:hAnsi="Arial"/>
                <w:b w:val="0"/>
                <w:i w:val="0"/>
                <w:color w:val="000000"/>
                <w:sz w:val="18"/>
              </w:rPr>
            </w:r>
            <w:r>
              <w:rPr>
                <w:rFonts w:ascii="Arial" w:hAnsi="Arial"/>
                <w:b w:val="0"/>
                <w:i w:val="0"/>
                <w:color w:val="000000"/>
                <w:sz w:val="18"/>
              </w:rPr>
              <w:t>codex/frontend-vendor-auth</w:t>
            </w:r>
          </w:p>
        </w:tc>
        <w:tc>
          <w:tcPr>
            <w:tcW w:type="dxa" w:w="2550"/>
            <w:tcMar>
              <w:top w:w="80" w:type="dxa"/>
              <w:start w:w="120" w:type="dxa"/>
              <w:bottom w:w="80" w:type="dxa"/>
              <w:end w:w="120" w:type="dxa"/>
            </w:tcMar>
            <w:vAlign w:val="top"/>
          </w:tcPr>
          <w:p>
            <w:pPr>
              <w:spacing w:before="0" w:after="60" w:line="252" w:lineRule="auto"/>
            </w:pPr>
            <w:r>
              <w:rPr>
                <w:rFonts w:ascii="Arial" w:hAnsi="Arial"/>
                <w:b w:val="0"/>
                <w:i w:val="0"/>
                <w:color w:val="000000"/>
                <w:sz w:val="18"/>
              </w:rPr>
            </w:r>
            <w:r>
              <w:rPr>
                <w:rFonts w:ascii="Arial" w:hAnsi="Arial"/>
                <w:b w:val="0"/>
                <w:i w:val="0"/>
                <w:color w:val="000000"/>
                <w:sz w:val="18"/>
              </w:rPr>
              <w:t>feat(portal): migrate vendor authentication and organization onboarding</w:t>
            </w:r>
          </w:p>
        </w:tc>
        <w:tc>
          <w:tcPr>
            <w:tcW w:type="dxa" w:w="2760"/>
            <w:tcMar>
              <w:top w:w="80" w:type="dxa"/>
              <w:start w:w="120" w:type="dxa"/>
              <w:bottom w:w="80" w:type="dxa"/>
              <w:end w:w="120" w:type="dxa"/>
            </w:tcMar>
            <w:vAlign w:val="top"/>
          </w:tcPr>
          <w:p>
            <w:pPr>
              <w:spacing w:before="0" w:after="60" w:line="252" w:lineRule="auto"/>
            </w:pPr>
            <w:r>
              <w:rPr>
                <w:rFonts w:ascii="Arial" w:hAnsi="Arial"/>
                <w:b w:val="0"/>
                <w:i w:val="0"/>
                <w:color w:val="000000"/>
                <w:sz w:val="18"/>
              </w:rPr>
            </w:r>
            <w:r>
              <w:rPr>
                <w:rFonts w:ascii="Arial" w:hAnsi="Arial"/>
                <w:b w:val="0"/>
                <w:i w:val="0"/>
                <w:color w:val="000000"/>
                <w:sz w:val="18"/>
              </w:rPr>
              <w:t>Move registration, login, verification, reset, MFA, sessions, and active Organization context to the accepted backend contract.</w:t>
            </w:r>
          </w:p>
        </w:tc>
      </w:tr>
      <w:tr>
        <w:trPr>
          <w:cantSplit w:val="true"/>
        </w:trPr>
        <w:tc>
          <w:tcPr>
            <w:tcW w:type="dxa" w:w="1500"/>
            <w:tcMar>
              <w:top w:w="80" w:type="dxa"/>
              <w:start w:w="120" w:type="dxa"/>
              <w:bottom w:w="80" w:type="dxa"/>
              <w:end w:w="120" w:type="dxa"/>
            </w:tcMar>
            <w:vAlign w:val="top"/>
          </w:tcPr>
          <w:p>
            <w:pPr>
              <w:spacing w:before="0" w:after="60" w:line="252" w:lineRule="auto"/>
            </w:pPr>
            <w:r>
              <w:rPr>
                <w:rFonts w:ascii="Arial" w:hAnsi="Arial"/>
                <w:b w:val="0"/>
                <w:i w:val="0"/>
                <w:color w:val="000000"/>
                <w:sz w:val="18"/>
              </w:rPr>
            </w:r>
            <w:r>
              <w:rPr>
                <w:rFonts w:ascii="Arial" w:hAnsi="Arial"/>
                <w:b w:val="0"/>
                <w:i w:val="0"/>
                <w:color w:val="000000"/>
                <w:sz w:val="18"/>
              </w:rPr>
              <w:t>06</w:t>
            </w:r>
          </w:p>
        </w:tc>
        <w:tc>
          <w:tcPr>
            <w:tcW w:type="dxa" w:w="2550"/>
            <w:tcMar>
              <w:top w:w="80" w:type="dxa"/>
              <w:start w:w="120" w:type="dxa"/>
              <w:bottom w:w="80" w:type="dxa"/>
              <w:end w:w="120" w:type="dxa"/>
            </w:tcMar>
            <w:vAlign w:val="top"/>
          </w:tcPr>
          <w:p>
            <w:pPr>
              <w:spacing w:before="0" w:after="60" w:line="252" w:lineRule="auto"/>
            </w:pPr>
            <w:r>
              <w:rPr>
                <w:rFonts w:ascii="Arial" w:hAnsi="Arial"/>
                <w:b w:val="0"/>
                <w:i w:val="0"/>
                <w:color w:val="000000"/>
                <w:sz w:val="18"/>
              </w:rPr>
            </w:r>
            <w:r>
              <w:rPr>
                <w:rFonts w:ascii="Arial" w:hAnsi="Arial"/>
                <w:b w:val="0"/>
                <w:i w:val="0"/>
                <w:color w:val="000000"/>
                <w:sz w:val="18"/>
              </w:rPr>
              <w:t>codex/frontend-vendor-member-access</w:t>
            </w:r>
          </w:p>
        </w:tc>
        <w:tc>
          <w:tcPr>
            <w:tcW w:type="dxa" w:w="2550"/>
            <w:tcMar>
              <w:top w:w="80" w:type="dxa"/>
              <w:start w:w="120" w:type="dxa"/>
              <w:bottom w:w="80" w:type="dxa"/>
              <w:end w:w="120" w:type="dxa"/>
            </w:tcMar>
            <w:vAlign w:val="top"/>
          </w:tcPr>
          <w:p>
            <w:pPr>
              <w:spacing w:before="0" w:after="60" w:line="252" w:lineRule="auto"/>
            </w:pPr>
            <w:r>
              <w:rPr>
                <w:rFonts w:ascii="Arial" w:hAnsi="Arial"/>
                <w:b w:val="0"/>
                <w:i w:val="0"/>
                <w:color w:val="000000"/>
                <w:sz w:val="18"/>
              </w:rPr>
            </w:r>
            <w:r>
              <w:rPr>
                <w:rFonts w:ascii="Arial" w:hAnsi="Arial"/>
                <w:b w:val="0"/>
                <w:i w:val="0"/>
                <w:color w:val="000000"/>
                <w:sz w:val="18"/>
              </w:rPr>
              <w:t>feat(portal): add member invitations and vendor portal access</w:t>
            </w:r>
          </w:p>
        </w:tc>
        <w:tc>
          <w:tcPr>
            <w:tcW w:type="dxa" w:w="2760"/>
            <w:tcMar>
              <w:top w:w="80" w:type="dxa"/>
              <w:start w:w="120" w:type="dxa"/>
              <w:bottom w:w="80" w:type="dxa"/>
              <w:end w:w="120" w:type="dxa"/>
            </w:tcMar>
            <w:vAlign w:val="top"/>
          </w:tcPr>
          <w:p>
            <w:pPr>
              <w:spacing w:before="0" w:after="60" w:line="252" w:lineRule="auto"/>
            </w:pPr>
            <w:r>
              <w:rPr>
                <w:rFonts w:ascii="Arial" w:hAnsi="Arial"/>
                <w:b w:val="0"/>
                <w:i w:val="0"/>
                <w:color w:val="000000"/>
                <w:sz w:val="18"/>
              </w:rPr>
            </w:r>
            <w:r>
              <w:rPr>
                <w:rFonts w:ascii="Arial" w:hAnsi="Arial"/>
                <w:b w:val="0"/>
                <w:i w:val="0"/>
                <w:color w:val="000000"/>
                <w:sz w:val="18"/>
              </w:rPr>
              <w:t>Let an Owner invite members and control access without introducing future inventory roles.</w:t>
            </w:r>
          </w:p>
        </w:tc>
      </w:tr>
      <w:tr>
        <w:trPr>
          <w:cantSplit w:val="true"/>
        </w:trPr>
        <w:tc>
          <w:tcPr>
            <w:tcW w:type="dxa" w:w="1500"/>
            <w:tcMar>
              <w:top w:w="80" w:type="dxa"/>
              <w:start w:w="120" w:type="dxa"/>
              <w:bottom w:w="80" w:type="dxa"/>
              <w:end w:w="120" w:type="dxa"/>
            </w:tcMar>
            <w:vAlign w:val="top"/>
          </w:tcPr>
          <w:p>
            <w:pPr>
              <w:spacing w:before="0" w:after="60" w:line="252" w:lineRule="auto"/>
            </w:pPr>
            <w:r>
              <w:rPr>
                <w:rFonts w:ascii="Arial" w:hAnsi="Arial"/>
                <w:b w:val="0"/>
                <w:i w:val="0"/>
                <w:color w:val="000000"/>
                <w:sz w:val="18"/>
              </w:rPr>
            </w:r>
            <w:r>
              <w:rPr>
                <w:rFonts w:ascii="Arial" w:hAnsi="Arial"/>
                <w:b w:val="0"/>
                <w:i w:val="0"/>
                <w:color w:val="000000"/>
                <w:sz w:val="18"/>
              </w:rPr>
              <w:t>07</w:t>
            </w:r>
          </w:p>
        </w:tc>
        <w:tc>
          <w:tcPr>
            <w:tcW w:type="dxa" w:w="2550"/>
            <w:tcMar>
              <w:top w:w="80" w:type="dxa"/>
              <w:start w:w="120" w:type="dxa"/>
              <w:bottom w:w="80" w:type="dxa"/>
              <w:end w:w="120" w:type="dxa"/>
            </w:tcMar>
            <w:vAlign w:val="top"/>
          </w:tcPr>
          <w:p>
            <w:pPr>
              <w:spacing w:before="0" w:after="60" w:line="252" w:lineRule="auto"/>
            </w:pPr>
            <w:r>
              <w:rPr>
                <w:rFonts w:ascii="Arial" w:hAnsi="Arial"/>
                <w:b w:val="0"/>
                <w:i w:val="0"/>
                <w:color w:val="000000"/>
                <w:sz w:val="18"/>
              </w:rPr>
            </w:r>
            <w:r>
              <w:rPr>
                <w:rFonts w:ascii="Arial" w:hAnsi="Arial"/>
                <w:b w:val="0"/>
                <w:i w:val="0"/>
                <w:color w:val="000000"/>
                <w:sz w:val="18"/>
              </w:rPr>
              <w:t>codex/backend-vendor-catalog-hardening</w:t>
            </w:r>
          </w:p>
        </w:tc>
        <w:tc>
          <w:tcPr>
            <w:tcW w:type="dxa" w:w="2550"/>
            <w:tcMar>
              <w:top w:w="80" w:type="dxa"/>
              <w:start w:w="120" w:type="dxa"/>
              <w:bottom w:w="80" w:type="dxa"/>
              <w:end w:w="120" w:type="dxa"/>
            </w:tcMar>
            <w:vAlign w:val="top"/>
          </w:tcPr>
          <w:p>
            <w:pPr>
              <w:spacing w:before="0" w:after="60" w:line="252" w:lineRule="auto"/>
            </w:pPr>
            <w:r>
              <w:rPr>
                <w:rFonts w:ascii="Arial" w:hAnsi="Arial"/>
                <w:b w:val="0"/>
                <w:i w:val="0"/>
                <w:color w:val="000000"/>
                <w:sz w:val="18"/>
              </w:rPr>
            </w:r>
            <w:r>
              <w:rPr>
                <w:rFonts w:ascii="Arial" w:hAnsi="Arial"/>
                <w:b w:val="0"/>
                <w:i w:val="0"/>
                <w:color w:val="000000"/>
                <w:sz w:val="18"/>
              </w:rPr>
              <w:t>chore(vendor): harden catalog tenancy and product lifecycle APIs</w:t>
            </w:r>
          </w:p>
        </w:tc>
        <w:tc>
          <w:tcPr>
            <w:tcW w:type="dxa" w:w="2760"/>
            <w:tcMar>
              <w:top w:w="80" w:type="dxa"/>
              <w:start w:w="120" w:type="dxa"/>
              <w:bottom w:w="80" w:type="dxa"/>
              <w:end w:w="120" w:type="dxa"/>
            </w:tcMar>
            <w:vAlign w:val="top"/>
          </w:tcPr>
          <w:p>
            <w:pPr>
              <w:spacing w:before="0" w:after="60" w:line="252" w:lineRule="auto"/>
            </w:pPr>
            <w:r>
              <w:rPr>
                <w:rFonts w:ascii="Arial" w:hAnsi="Arial"/>
                <w:b w:val="0"/>
                <w:i w:val="0"/>
                <w:color w:val="000000"/>
                <w:sz w:val="18"/>
              </w:rPr>
            </w:r>
            <w:r>
              <w:rPr>
                <w:rFonts w:ascii="Arial" w:hAnsi="Arial"/>
                <w:b w:val="0"/>
                <w:i w:val="0"/>
                <w:color w:val="000000"/>
                <w:sz w:val="18"/>
              </w:rPr>
              <w:t>Complete Vendor Profile authorization and product/version invariants.</w:t>
            </w:r>
          </w:p>
        </w:tc>
      </w:tr>
      <w:tr>
        <w:trPr>
          <w:cantSplit w:val="true"/>
        </w:trPr>
        <w:tc>
          <w:tcPr>
            <w:tcW w:type="dxa" w:w="1500"/>
            <w:tcMar>
              <w:top w:w="80" w:type="dxa"/>
              <w:start w:w="120" w:type="dxa"/>
              <w:bottom w:w="80" w:type="dxa"/>
              <w:end w:w="120" w:type="dxa"/>
            </w:tcMar>
            <w:vAlign w:val="top"/>
          </w:tcPr>
          <w:p>
            <w:pPr>
              <w:spacing w:before="0" w:after="60" w:line="252" w:lineRule="auto"/>
            </w:pPr>
            <w:r>
              <w:rPr>
                <w:rFonts w:ascii="Arial" w:hAnsi="Arial"/>
                <w:b w:val="0"/>
                <w:i w:val="0"/>
                <w:color w:val="000000"/>
                <w:sz w:val="18"/>
              </w:rPr>
            </w:r>
            <w:r>
              <w:rPr>
                <w:rFonts w:ascii="Arial" w:hAnsi="Arial"/>
                <w:b w:val="0"/>
                <w:i w:val="0"/>
                <w:color w:val="000000"/>
                <w:sz w:val="18"/>
              </w:rPr>
              <w:t>08</w:t>
            </w:r>
          </w:p>
        </w:tc>
        <w:tc>
          <w:tcPr>
            <w:tcW w:type="dxa" w:w="2550"/>
            <w:tcMar>
              <w:top w:w="80" w:type="dxa"/>
              <w:start w:w="120" w:type="dxa"/>
              <w:bottom w:w="80" w:type="dxa"/>
              <w:end w:w="120" w:type="dxa"/>
            </w:tcMar>
            <w:vAlign w:val="top"/>
          </w:tcPr>
          <w:p>
            <w:pPr>
              <w:spacing w:before="0" w:after="60" w:line="252" w:lineRule="auto"/>
            </w:pPr>
            <w:r>
              <w:rPr>
                <w:rFonts w:ascii="Arial" w:hAnsi="Arial"/>
                <w:b w:val="0"/>
                <w:i w:val="0"/>
                <w:color w:val="000000"/>
                <w:sz w:val="18"/>
              </w:rPr>
            </w:r>
            <w:r>
              <w:rPr>
                <w:rFonts w:ascii="Arial" w:hAnsi="Arial"/>
                <w:b w:val="0"/>
                <w:i w:val="0"/>
                <w:color w:val="000000"/>
                <w:sz w:val="18"/>
              </w:rPr>
              <w:t>codex/backend-vendor-media-import-search</w:t>
            </w:r>
          </w:p>
        </w:tc>
        <w:tc>
          <w:tcPr>
            <w:tcW w:type="dxa" w:w="2550"/>
            <w:tcMar>
              <w:top w:w="80" w:type="dxa"/>
              <w:start w:w="120" w:type="dxa"/>
              <w:bottom w:w="80" w:type="dxa"/>
              <w:end w:w="120" w:type="dxa"/>
            </w:tcMar>
            <w:vAlign w:val="top"/>
          </w:tcPr>
          <w:p>
            <w:pPr>
              <w:spacing w:before="0" w:after="60" w:line="252" w:lineRule="auto"/>
            </w:pPr>
            <w:r>
              <w:rPr>
                <w:rFonts w:ascii="Arial" w:hAnsi="Arial"/>
                <w:b w:val="0"/>
                <w:i w:val="0"/>
                <w:color w:val="000000"/>
                <w:sz w:val="18"/>
              </w:rPr>
            </w:r>
            <w:r>
              <w:rPr>
                <w:rFonts w:ascii="Arial" w:hAnsi="Arial"/>
                <w:b w:val="0"/>
                <w:i w:val="0"/>
                <w:color w:val="000000"/>
                <w:sz w:val="18"/>
              </w:rPr>
              <w:t>chore(vendor): harden R2 media, imports, exports, and search</w:t>
            </w:r>
          </w:p>
        </w:tc>
        <w:tc>
          <w:tcPr>
            <w:tcW w:type="dxa" w:w="2760"/>
            <w:tcMar>
              <w:top w:w="80" w:type="dxa"/>
              <w:start w:w="120" w:type="dxa"/>
              <w:bottom w:w="80" w:type="dxa"/>
              <w:end w:w="120" w:type="dxa"/>
            </w:tcMar>
            <w:vAlign w:val="top"/>
          </w:tcPr>
          <w:p>
            <w:pPr>
              <w:spacing w:before="0" w:after="60" w:line="252" w:lineRule="auto"/>
            </w:pPr>
            <w:r>
              <w:rPr>
                <w:rFonts w:ascii="Arial" w:hAnsi="Arial"/>
                <w:b w:val="0"/>
                <w:i w:val="0"/>
                <w:color w:val="000000"/>
                <w:sz w:val="18"/>
              </w:rPr>
            </w:r>
            <w:r>
              <w:rPr>
                <w:rFonts w:ascii="Arial" w:hAnsi="Arial"/>
                <w:b w:val="0"/>
                <w:i w:val="0"/>
                <w:color w:val="000000"/>
                <w:sz w:val="18"/>
              </w:rPr>
              <w:t>Verify the highest-risk external and bulk-data boundaries before release.</w:t>
            </w:r>
          </w:p>
        </w:tc>
      </w:tr>
      <w:tr>
        <w:trPr>
          <w:cantSplit w:val="true"/>
        </w:trPr>
        <w:tc>
          <w:tcPr>
            <w:tcW w:type="dxa" w:w="1500"/>
            <w:tcMar>
              <w:top w:w="80" w:type="dxa"/>
              <w:start w:w="120" w:type="dxa"/>
              <w:bottom w:w="80" w:type="dxa"/>
              <w:end w:w="120" w:type="dxa"/>
            </w:tcMar>
            <w:vAlign w:val="top"/>
          </w:tcPr>
          <w:p>
            <w:pPr>
              <w:spacing w:before="0" w:after="60" w:line="252" w:lineRule="auto"/>
            </w:pPr>
            <w:r>
              <w:rPr>
                <w:rFonts w:ascii="Arial" w:hAnsi="Arial"/>
                <w:b w:val="0"/>
                <w:i w:val="0"/>
                <w:color w:val="000000"/>
                <w:sz w:val="18"/>
              </w:rPr>
            </w:r>
            <w:r>
              <w:rPr>
                <w:rFonts w:ascii="Arial" w:hAnsi="Arial"/>
                <w:b w:val="0"/>
                <w:i w:val="0"/>
                <w:color w:val="000000"/>
                <w:sz w:val="18"/>
              </w:rPr>
              <w:t>09</w:t>
            </w:r>
          </w:p>
        </w:tc>
        <w:tc>
          <w:tcPr>
            <w:tcW w:type="dxa" w:w="2550"/>
            <w:tcMar>
              <w:top w:w="80" w:type="dxa"/>
              <w:start w:w="120" w:type="dxa"/>
              <w:bottom w:w="80" w:type="dxa"/>
              <w:end w:w="120" w:type="dxa"/>
            </w:tcMar>
            <w:vAlign w:val="top"/>
          </w:tcPr>
          <w:p>
            <w:pPr>
              <w:spacing w:before="0" w:after="60" w:line="252" w:lineRule="auto"/>
            </w:pPr>
            <w:r>
              <w:rPr>
                <w:rFonts w:ascii="Arial" w:hAnsi="Arial"/>
                <w:b w:val="0"/>
                <w:i w:val="0"/>
                <w:color w:val="000000"/>
                <w:sz w:val="18"/>
              </w:rPr>
            </w:r>
            <w:r>
              <w:rPr>
                <w:rFonts w:ascii="Arial" w:hAnsi="Arial"/>
                <w:b w:val="0"/>
                <w:i w:val="0"/>
                <w:color w:val="000000"/>
                <w:sz w:val="18"/>
              </w:rPr>
              <w:t>codex/backend-vendor-auth-cleanup</w:t>
            </w:r>
          </w:p>
        </w:tc>
        <w:tc>
          <w:tcPr>
            <w:tcW w:type="dxa" w:w="2550"/>
            <w:tcMar>
              <w:top w:w="80" w:type="dxa"/>
              <w:start w:w="120" w:type="dxa"/>
              <w:bottom w:w="80" w:type="dxa"/>
              <w:end w:w="120" w:type="dxa"/>
            </w:tcMar>
            <w:vAlign w:val="top"/>
          </w:tcPr>
          <w:p>
            <w:pPr>
              <w:spacing w:before="0" w:after="60" w:line="252" w:lineRule="auto"/>
            </w:pPr>
            <w:r>
              <w:rPr>
                <w:rFonts w:ascii="Arial" w:hAnsi="Arial"/>
                <w:b w:val="0"/>
                <w:i w:val="0"/>
                <w:color w:val="000000"/>
                <w:sz w:val="18"/>
              </w:rPr>
            </w:r>
            <w:r>
              <w:rPr>
                <w:rFonts w:ascii="Arial" w:hAnsi="Arial"/>
                <w:b w:val="0"/>
                <w:i w:val="0"/>
                <w:color w:val="000000"/>
                <w:sz w:val="18"/>
              </w:rPr>
              <w:t>refactor(auth): remove transitional vendor authentication fields</w:t>
            </w:r>
          </w:p>
        </w:tc>
        <w:tc>
          <w:tcPr>
            <w:tcW w:type="dxa" w:w="2760"/>
            <w:tcMar>
              <w:top w:w="80" w:type="dxa"/>
              <w:start w:w="120" w:type="dxa"/>
              <w:bottom w:w="80" w:type="dxa"/>
              <w:end w:w="120" w:type="dxa"/>
            </w:tcMar>
            <w:vAlign w:val="top"/>
          </w:tcPr>
          <w:p>
            <w:pPr>
              <w:spacing w:before="0" w:after="60" w:line="252" w:lineRule="auto"/>
            </w:pPr>
            <w:r>
              <w:rPr>
                <w:rFonts w:ascii="Arial" w:hAnsi="Arial"/>
                <w:b w:val="0"/>
                <w:i w:val="0"/>
                <w:color w:val="000000"/>
                <w:sz w:val="18"/>
              </w:rPr>
            </w:r>
            <w:r>
              <w:rPr>
                <w:rFonts w:ascii="Arial" w:hAnsi="Arial"/>
                <w:b w:val="0"/>
                <w:i w:val="0"/>
                <w:color w:val="000000"/>
                <w:sz w:val="18"/>
              </w:rPr>
              <w:t>Remove legacy authentication and ownership only after the cutover is proven.</w:t>
            </w:r>
          </w:p>
        </w:tc>
      </w:tr>
      <w:tr>
        <w:trPr>
          <w:cantSplit w:val="true"/>
        </w:trPr>
        <w:tc>
          <w:tcPr>
            <w:tcW w:type="dxa" w:w="1500"/>
            <w:tcMar>
              <w:top w:w="80" w:type="dxa"/>
              <w:start w:w="120" w:type="dxa"/>
              <w:bottom w:w="80" w:type="dxa"/>
              <w:end w:w="120" w:type="dxa"/>
            </w:tcMar>
            <w:vAlign w:val="top"/>
          </w:tcPr>
          <w:p>
            <w:pPr>
              <w:spacing w:before="0" w:after="60" w:line="252" w:lineRule="auto"/>
            </w:pPr>
            <w:r>
              <w:rPr>
                <w:rFonts w:ascii="Arial" w:hAnsi="Arial"/>
                <w:b w:val="0"/>
                <w:i w:val="0"/>
                <w:color w:val="000000"/>
                <w:sz w:val="18"/>
              </w:rPr>
            </w:r>
            <w:r>
              <w:rPr>
                <w:rFonts w:ascii="Arial" w:hAnsi="Arial"/>
                <w:b w:val="0"/>
                <w:i w:val="0"/>
                <w:color w:val="000000"/>
                <w:sz w:val="18"/>
              </w:rPr>
              <w:t>10</w:t>
            </w:r>
          </w:p>
        </w:tc>
        <w:tc>
          <w:tcPr>
            <w:tcW w:type="dxa" w:w="2550"/>
            <w:tcMar>
              <w:top w:w="80" w:type="dxa"/>
              <w:start w:w="120" w:type="dxa"/>
              <w:bottom w:w="80" w:type="dxa"/>
              <w:end w:w="120" w:type="dxa"/>
            </w:tcMar>
            <w:vAlign w:val="top"/>
          </w:tcPr>
          <w:p>
            <w:pPr>
              <w:spacing w:before="0" w:after="60" w:line="252" w:lineRule="auto"/>
            </w:pPr>
            <w:r>
              <w:rPr>
                <w:rFonts w:ascii="Arial" w:hAnsi="Arial"/>
                <w:b w:val="0"/>
                <w:i w:val="0"/>
                <w:color w:val="000000"/>
                <w:sz w:val="18"/>
              </w:rPr>
            </w:r>
            <w:r>
              <w:rPr>
                <w:rFonts w:ascii="Arial" w:hAnsi="Arial"/>
                <w:b w:val="0"/>
                <w:i w:val="0"/>
                <w:color w:val="000000"/>
                <w:sz w:val="18"/>
              </w:rPr>
              <w:t>codex/frontend-vendor-product-hardening</w:t>
            </w:r>
          </w:p>
        </w:tc>
        <w:tc>
          <w:tcPr>
            <w:tcW w:type="dxa" w:w="2550"/>
            <w:tcMar>
              <w:top w:w="80" w:type="dxa"/>
              <w:start w:w="120" w:type="dxa"/>
              <w:bottom w:w="80" w:type="dxa"/>
              <w:end w:w="120" w:type="dxa"/>
            </w:tcMar>
            <w:vAlign w:val="top"/>
          </w:tcPr>
          <w:p>
            <w:pPr>
              <w:spacing w:before="0" w:after="60" w:line="252" w:lineRule="auto"/>
            </w:pPr>
            <w:r>
              <w:rPr>
                <w:rFonts w:ascii="Arial" w:hAnsi="Arial"/>
                <w:b w:val="0"/>
                <w:i w:val="0"/>
                <w:color w:val="000000"/>
                <w:sz w:val="18"/>
              </w:rPr>
            </w:r>
            <w:r>
              <w:rPr>
                <w:rFonts w:ascii="Arial" w:hAnsi="Arial"/>
                <w:b w:val="0"/>
                <w:i w:val="0"/>
                <w:color w:val="000000"/>
                <w:sz w:val="18"/>
              </w:rPr>
              <w:t>chore(portal): harden product and version workflows</w:t>
            </w:r>
          </w:p>
        </w:tc>
        <w:tc>
          <w:tcPr>
            <w:tcW w:type="dxa" w:w="2760"/>
            <w:tcMar>
              <w:top w:w="80" w:type="dxa"/>
              <w:start w:w="120" w:type="dxa"/>
              <w:bottom w:w="80" w:type="dxa"/>
              <w:end w:w="120" w:type="dxa"/>
            </w:tcMar>
            <w:vAlign w:val="top"/>
          </w:tcPr>
          <w:p>
            <w:pPr>
              <w:spacing w:before="0" w:after="60" w:line="252" w:lineRule="auto"/>
            </w:pPr>
            <w:r>
              <w:rPr>
                <w:rFonts w:ascii="Arial" w:hAnsi="Arial"/>
                <w:b w:val="0"/>
                <w:i w:val="0"/>
                <w:color w:val="000000"/>
                <w:sz w:val="18"/>
              </w:rPr>
            </w:r>
            <w:r>
              <w:rPr>
                <w:rFonts w:ascii="Arial" w:hAnsi="Arial"/>
                <w:b w:val="0"/>
                <w:i w:val="0"/>
                <w:color w:val="000000"/>
                <w:sz w:val="18"/>
              </w:rPr>
              <w:t>Finish product-first flows against the new Organization and Vendor Profile context.</w:t>
            </w:r>
          </w:p>
        </w:tc>
      </w:tr>
      <w:tr>
        <w:trPr>
          <w:cantSplit w:val="true"/>
        </w:trPr>
        <w:tc>
          <w:tcPr>
            <w:tcW w:type="dxa" w:w="1500"/>
            <w:tcMar>
              <w:top w:w="80" w:type="dxa"/>
              <w:start w:w="120" w:type="dxa"/>
              <w:bottom w:w="80" w:type="dxa"/>
              <w:end w:w="120" w:type="dxa"/>
            </w:tcMar>
            <w:vAlign w:val="top"/>
          </w:tcPr>
          <w:p>
            <w:pPr>
              <w:spacing w:before="0" w:after="60" w:line="252" w:lineRule="auto"/>
            </w:pPr>
            <w:r>
              <w:rPr>
                <w:rFonts w:ascii="Arial" w:hAnsi="Arial"/>
                <w:b w:val="0"/>
                <w:i w:val="0"/>
                <w:color w:val="000000"/>
                <w:sz w:val="18"/>
              </w:rPr>
            </w:r>
            <w:r>
              <w:rPr>
                <w:rFonts w:ascii="Arial" w:hAnsi="Arial"/>
                <w:b w:val="0"/>
                <w:i w:val="0"/>
                <w:color w:val="000000"/>
                <w:sz w:val="18"/>
              </w:rPr>
              <w:t>11</w:t>
            </w:r>
          </w:p>
        </w:tc>
        <w:tc>
          <w:tcPr>
            <w:tcW w:type="dxa" w:w="2550"/>
            <w:tcMar>
              <w:top w:w="80" w:type="dxa"/>
              <w:start w:w="120" w:type="dxa"/>
              <w:bottom w:w="80" w:type="dxa"/>
              <w:end w:w="120" w:type="dxa"/>
            </w:tcMar>
            <w:vAlign w:val="top"/>
          </w:tcPr>
          <w:p>
            <w:pPr>
              <w:spacing w:before="0" w:after="60" w:line="252" w:lineRule="auto"/>
            </w:pPr>
            <w:r>
              <w:rPr>
                <w:rFonts w:ascii="Arial" w:hAnsi="Arial"/>
                <w:b w:val="0"/>
                <w:i w:val="0"/>
                <w:color w:val="000000"/>
                <w:sz w:val="18"/>
              </w:rPr>
            </w:r>
            <w:r>
              <w:rPr>
                <w:rFonts w:ascii="Arial" w:hAnsi="Arial"/>
                <w:b w:val="0"/>
                <w:i w:val="0"/>
                <w:color w:val="000000"/>
                <w:sz w:val="18"/>
              </w:rPr>
              <w:t>codex/frontend-vendor-catalog-search-hardening</w:t>
            </w:r>
          </w:p>
        </w:tc>
        <w:tc>
          <w:tcPr>
            <w:tcW w:type="dxa" w:w="2550"/>
            <w:tcMar>
              <w:top w:w="80" w:type="dxa"/>
              <w:start w:w="120" w:type="dxa"/>
              <w:bottom w:w="80" w:type="dxa"/>
              <w:end w:w="120" w:type="dxa"/>
            </w:tcMar>
            <w:vAlign w:val="top"/>
          </w:tcPr>
          <w:p>
            <w:pPr>
              <w:spacing w:before="0" w:after="60" w:line="252" w:lineRule="auto"/>
            </w:pPr>
            <w:r>
              <w:rPr>
                <w:rFonts w:ascii="Arial" w:hAnsi="Arial"/>
                <w:b w:val="0"/>
                <w:i w:val="0"/>
                <w:color w:val="000000"/>
                <w:sz w:val="18"/>
              </w:rPr>
            </w:r>
            <w:r>
              <w:rPr>
                <w:rFonts w:ascii="Arial" w:hAnsi="Arial"/>
                <w:b w:val="0"/>
                <w:i w:val="0"/>
                <w:color w:val="000000"/>
                <w:sz w:val="18"/>
              </w:rPr>
              <w:t>chore(portal): harden catalog, search, and import workflows</w:t>
            </w:r>
          </w:p>
        </w:tc>
        <w:tc>
          <w:tcPr>
            <w:tcW w:type="dxa" w:w="2760"/>
            <w:tcMar>
              <w:top w:w="80" w:type="dxa"/>
              <w:start w:w="120" w:type="dxa"/>
              <w:bottom w:w="80" w:type="dxa"/>
              <w:end w:w="120" w:type="dxa"/>
            </w:tcMar>
            <w:vAlign w:val="top"/>
          </w:tcPr>
          <w:p>
            <w:pPr>
              <w:spacing w:before="0" w:after="60" w:line="252" w:lineRule="auto"/>
            </w:pPr>
            <w:r>
              <w:rPr>
                <w:rFonts w:ascii="Arial" w:hAnsi="Arial"/>
                <w:b w:val="0"/>
                <w:i w:val="0"/>
                <w:color w:val="000000"/>
                <w:sz w:val="18"/>
              </w:rPr>
            </w:r>
            <w:r>
              <w:rPr>
                <w:rFonts w:ascii="Arial" w:hAnsi="Arial"/>
                <w:b w:val="0"/>
                <w:i w:val="0"/>
                <w:color w:val="000000"/>
                <w:sz w:val="18"/>
              </w:rPr>
              <w:t>Complete advanced catalog and bulk workflows without expanding scope.</w:t>
            </w:r>
          </w:p>
        </w:tc>
      </w:tr>
      <w:tr>
        <w:trPr>
          <w:cantSplit w:val="true"/>
        </w:trPr>
        <w:tc>
          <w:tcPr>
            <w:tcW w:type="dxa" w:w="1500"/>
            <w:tcMar>
              <w:top w:w="80" w:type="dxa"/>
              <w:start w:w="120" w:type="dxa"/>
              <w:bottom w:w="80" w:type="dxa"/>
              <w:end w:w="120" w:type="dxa"/>
            </w:tcMar>
            <w:vAlign w:val="top"/>
          </w:tcPr>
          <w:p>
            <w:pPr>
              <w:spacing w:before="0" w:after="60" w:line="252" w:lineRule="auto"/>
            </w:pPr>
            <w:r>
              <w:rPr>
                <w:rFonts w:ascii="Arial" w:hAnsi="Arial"/>
                <w:b w:val="0"/>
                <w:i w:val="0"/>
                <w:color w:val="000000"/>
                <w:sz w:val="18"/>
              </w:rPr>
            </w:r>
            <w:r>
              <w:rPr>
                <w:rFonts w:ascii="Arial" w:hAnsi="Arial"/>
                <w:b w:val="0"/>
                <w:i w:val="0"/>
                <w:color w:val="000000"/>
                <w:sz w:val="18"/>
              </w:rPr>
              <w:t>12</w:t>
            </w:r>
          </w:p>
        </w:tc>
        <w:tc>
          <w:tcPr>
            <w:tcW w:type="dxa" w:w="2550"/>
            <w:tcMar>
              <w:top w:w="80" w:type="dxa"/>
              <w:start w:w="120" w:type="dxa"/>
              <w:bottom w:w="80" w:type="dxa"/>
              <w:end w:w="120" w:type="dxa"/>
            </w:tcMar>
            <w:vAlign w:val="top"/>
          </w:tcPr>
          <w:p>
            <w:pPr>
              <w:spacing w:before="0" w:after="60" w:line="252" w:lineRule="auto"/>
            </w:pPr>
            <w:r>
              <w:rPr>
                <w:rFonts w:ascii="Arial" w:hAnsi="Arial"/>
                <w:b w:val="0"/>
                <w:i w:val="0"/>
                <w:color w:val="000000"/>
                <w:sz w:val="18"/>
              </w:rPr>
            </w:r>
            <w:r>
              <w:rPr>
                <w:rFonts w:ascii="Arial" w:hAnsi="Arial"/>
                <w:b w:val="0"/>
                <w:i w:val="0"/>
                <w:color w:val="000000"/>
                <w:sz w:val="18"/>
              </w:rPr>
              <w:t>codex/frontend-vendor-accessibility</w:t>
            </w:r>
          </w:p>
        </w:tc>
        <w:tc>
          <w:tcPr>
            <w:tcW w:type="dxa" w:w="2550"/>
            <w:tcMar>
              <w:top w:w="80" w:type="dxa"/>
              <w:start w:w="120" w:type="dxa"/>
              <w:bottom w:w="80" w:type="dxa"/>
              <w:end w:w="120" w:type="dxa"/>
            </w:tcMar>
            <w:vAlign w:val="top"/>
          </w:tcPr>
          <w:p>
            <w:pPr>
              <w:spacing w:before="0" w:after="60" w:line="252" w:lineRule="auto"/>
            </w:pPr>
            <w:r>
              <w:rPr>
                <w:rFonts w:ascii="Arial" w:hAnsi="Arial"/>
                <w:b w:val="0"/>
                <w:i w:val="0"/>
                <w:color w:val="000000"/>
                <w:sz w:val="18"/>
              </w:rPr>
            </w:r>
            <w:r>
              <w:rPr>
                <w:rFonts w:ascii="Arial" w:hAnsi="Arial"/>
                <w:b w:val="0"/>
                <w:i w:val="0"/>
                <w:color w:val="000000"/>
                <w:sz w:val="18"/>
              </w:rPr>
              <w:t>chore(portal): complete vendor accessibility and responsive behavior</w:t>
            </w:r>
          </w:p>
        </w:tc>
        <w:tc>
          <w:tcPr>
            <w:tcW w:type="dxa" w:w="2760"/>
            <w:tcMar>
              <w:top w:w="80" w:type="dxa"/>
              <w:start w:w="120" w:type="dxa"/>
              <w:bottom w:w="80" w:type="dxa"/>
              <w:end w:w="120" w:type="dxa"/>
            </w:tcMar>
            <w:vAlign w:val="top"/>
          </w:tcPr>
          <w:p>
            <w:pPr>
              <w:spacing w:before="0" w:after="60" w:line="252" w:lineRule="auto"/>
            </w:pPr>
            <w:r>
              <w:rPr>
                <w:rFonts w:ascii="Arial" w:hAnsi="Arial"/>
                <w:b w:val="0"/>
                <w:i w:val="0"/>
                <w:color w:val="000000"/>
                <w:sz w:val="18"/>
              </w:rPr>
            </w:r>
            <w:r>
              <w:rPr>
                <w:rFonts w:ascii="Arial" w:hAnsi="Arial"/>
                <w:b w:val="0"/>
                <w:i w:val="0"/>
                <w:color w:val="000000"/>
                <w:sz w:val="18"/>
              </w:rPr>
              <w:t>Make the finished workflows usable by keyboard, screen reader, desktop, and mobile users.</w:t>
            </w:r>
          </w:p>
        </w:tc>
      </w:tr>
      <w:tr>
        <w:trPr>
          <w:cantSplit w:val="true"/>
        </w:trPr>
        <w:tc>
          <w:tcPr>
            <w:tcW w:type="dxa" w:w="1500"/>
            <w:tcMar>
              <w:top w:w="80" w:type="dxa"/>
              <w:start w:w="120" w:type="dxa"/>
              <w:bottom w:w="80" w:type="dxa"/>
              <w:end w:w="120" w:type="dxa"/>
            </w:tcMar>
            <w:vAlign w:val="top"/>
          </w:tcPr>
          <w:p>
            <w:pPr>
              <w:spacing w:before="0" w:after="60" w:line="252" w:lineRule="auto"/>
            </w:pPr>
            <w:r>
              <w:rPr>
                <w:rFonts w:ascii="Arial" w:hAnsi="Arial"/>
                <w:b w:val="0"/>
                <w:i w:val="0"/>
                <w:color w:val="000000"/>
                <w:sz w:val="18"/>
              </w:rPr>
            </w:r>
            <w:r>
              <w:rPr>
                <w:rFonts w:ascii="Arial" w:hAnsi="Arial"/>
                <w:b w:val="0"/>
                <w:i w:val="0"/>
                <w:color w:val="000000"/>
                <w:sz w:val="18"/>
              </w:rPr>
              <w:t>13</w:t>
            </w:r>
          </w:p>
        </w:tc>
        <w:tc>
          <w:tcPr>
            <w:tcW w:type="dxa" w:w="2550"/>
            <w:tcMar>
              <w:top w:w="80" w:type="dxa"/>
              <w:start w:w="120" w:type="dxa"/>
              <w:bottom w:w="80" w:type="dxa"/>
              <w:end w:w="120" w:type="dxa"/>
            </w:tcMar>
            <w:vAlign w:val="top"/>
          </w:tcPr>
          <w:p>
            <w:pPr>
              <w:spacing w:before="0" w:after="60" w:line="252" w:lineRule="auto"/>
            </w:pPr>
            <w:r>
              <w:rPr>
                <w:rFonts w:ascii="Arial" w:hAnsi="Arial"/>
                <w:b w:val="0"/>
                <w:i w:val="0"/>
                <w:color w:val="000000"/>
                <w:sz w:val="18"/>
              </w:rPr>
            </w:r>
            <w:r>
              <w:rPr>
                <w:rFonts w:ascii="Arial" w:hAnsi="Arial"/>
                <w:b w:val="0"/>
                <w:i w:val="0"/>
                <w:color w:val="000000"/>
                <w:sz w:val="18"/>
              </w:rPr>
              <w:t>codex/release-vendor-portal</w:t>
            </w:r>
          </w:p>
        </w:tc>
        <w:tc>
          <w:tcPr>
            <w:tcW w:type="dxa" w:w="2550"/>
            <w:tcMar>
              <w:top w:w="80" w:type="dxa"/>
              <w:start w:w="120" w:type="dxa"/>
              <w:bottom w:w="80" w:type="dxa"/>
              <w:end w:w="120" w:type="dxa"/>
            </w:tcMar>
            <w:vAlign w:val="top"/>
          </w:tcPr>
          <w:p>
            <w:pPr>
              <w:spacing w:before="0" w:after="60" w:line="252" w:lineRule="auto"/>
            </w:pPr>
            <w:r>
              <w:rPr>
                <w:rFonts w:ascii="Arial" w:hAnsi="Arial"/>
                <w:b w:val="0"/>
                <w:i w:val="0"/>
                <w:color w:val="000000"/>
                <w:sz w:val="18"/>
              </w:rPr>
            </w:r>
            <w:r>
              <w:rPr>
                <w:rFonts w:ascii="Arial" w:hAnsi="Arial"/>
                <w:b w:val="0"/>
                <w:i w:val="0"/>
                <w:color w:val="000000"/>
                <w:sz w:val="18"/>
              </w:rPr>
              <w:t>chore(vendor): verify and document vendor portal release</w:t>
            </w:r>
          </w:p>
        </w:tc>
        <w:tc>
          <w:tcPr>
            <w:tcW w:type="dxa" w:w="2760"/>
            <w:tcMar>
              <w:top w:w="80" w:type="dxa"/>
              <w:start w:w="120" w:type="dxa"/>
              <w:bottom w:w="80" w:type="dxa"/>
              <w:end w:w="120" w:type="dxa"/>
            </w:tcMar>
            <w:vAlign w:val="top"/>
          </w:tcPr>
          <w:p>
            <w:pPr>
              <w:spacing w:before="0" w:after="60" w:line="252" w:lineRule="auto"/>
            </w:pPr>
            <w:r>
              <w:rPr>
                <w:rFonts w:ascii="Arial" w:hAnsi="Arial"/>
                <w:b w:val="0"/>
                <w:i w:val="0"/>
                <w:color w:val="000000"/>
                <w:sz w:val="18"/>
              </w:rPr>
            </w:r>
            <w:r>
              <w:rPr>
                <w:rFonts w:ascii="Arial" w:hAnsi="Arial"/>
                <w:b w:val="0"/>
                <w:i w:val="0"/>
                <w:color w:val="000000"/>
                <w:sz w:val="18"/>
              </w:rPr>
              <w:t>Produce release evidence and documentation without adding business features.</w:t>
            </w:r>
          </w:p>
        </w:tc>
      </w:tr>
    </w:tbl>
    <w:p>
      <w:pPr>
        <w:spacing w:after="40"/>
      </w:pPr>
    </w:p>
    <w:p>
      <w:pPr>
        <w:pStyle w:val="Heading3"/>
      </w:pPr>
      <w:r>
        <w:rPr>
          <w:rFonts w:ascii="Arial" w:hAnsi="Arial"/>
          <w:b w:val="0"/>
          <w:i w:val="0"/>
          <w:color w:val="434343"/>
          <w:sz w:val="28"/>
        </w:rPr>
        <w:t>Stage details</w:t>
      </w:r>
    </w:p>
    <w:p>
      <w:pPr>
        <w:keepLines/>
        <w:spacing w:before="0" w:after="160" w:line="276" w:lineRule="auto"/>
      </w:pPr>
      <w:r>
        <w:rPr>
          <w:rFonts w:ascii="Arial" w:hAnsi="Arial"/>
          <w:b w:val="0"/>
          <w:i w:val="0"/>
          <w:color w:val="000000"/>
          <w:sz w:val="22"/>
        </w:rPr>
        <w:t xml:space="preserve">PR 01 preserves the unfinished Stage 10 changes on a local safety commit, begins from remote </w:t>
      </w:r>
      <w:r>
        <w:rPr>
          <w:rFonts w:ascii="Arial" w:hAnsi="Arial"/>
          <w:b w:val="0"/>
          <w:i w:val="0"/>
          <w:color w:val="000000"/>
          <w:sz w:val="22"/>
        </w:rPr>
        <w:t>develop</w:t>
      </w:r>
      <w:r>
        <w:rPr>
          <w:rFonts w:ascii="Arial" w:hAnsi="Arial"/>
          <w:b w:val="0"/>
          <w:i w:val="0"/>
          <w:color w:val="000000"/>
          <w:sz w:val="22"/>
        </w:rPr>
        <w:t xml:space="preserve">, integrates the two newer </w:t>
      </w:r>
      <w:r>
        <w:rPr>
          <w:rFonts w:ascii="Arial" w:hAnsi="Arial"/>
          <w:b w:val="0"/>
          <w:i w:val="0"/>
          <w:color w:val="000000"/>
          <w:sz w:val="22"/>
        </w:rPr>
        <w:t>main</w:t>
      </w:r>
      <w:r>
        <w:rPr>
          <w:rFonts w:ascii="Arial" w:hAnsi="Arial"/>
          <w:b w:val="0"/>
          <w:i w:val="0"/>
          <w:color w:val="000000"/>
          <w:sz w:val="22"/>
        </w:rPr>
        <w:t xml:space="preserve"> commits, and resolves conflicts in favor of the newer TanStack/Form/Zod/BFF/Storybook architecture while retaining stages 00 through 09.</w:t>
      </w:r>
    </w:p>
    <w:p>
      <w:pPr>
        <w:keepLines/>
        <w:spacing w:before="0" w:after="160" w:line="276" w:lineRule="auto"/>
      </w:pPr>
      <w:r>
        <w:rPr>
          <w:rFonts w:ascii="Arial" w:hAnsi="Arial"/>
          <w:b w:val="0"/>
          <w:i w:val="0"/>
          <w:color w:val="000000"/>
          <w:sz w:val="22"/>
        </w:rPr>
        <w:t>PR 02 upgrades Prisma without changing user-visible behavior. It verifies clean and current-data migrations, generation, seeding, API tests, pooling, and shutdown behavior.</w:t>
      </w:r>
    </w:p>
    <w:p>
      <w:pPr>
        <w:keepLines/>
        <w:spacing w:before="0" w:after="160" w:line="276" w:lineRule="auto"/>
      </w:pPr>
      <w:r>
        <w:rPr>
          <w:rFonts w:ascii="Arial" w:hAnsi="Arial"/>
          <w:b w:val="0"/>
          <w:i w:val="0"/>
          <w:color w:val="000000"/>
          <w:sz w:val="22"/>
        </w:rPr>
        <w:t>PR 03 adds Better Auth's User, Account, Session, Verification, Organization, Member, and Invitation data, email/password flows, verification, reset, TOTP, recovery codes, session revocation, legacy-password migration, and the temporary compatibility facade.</w:t>
      </w:r>
    </w:p>
    <w:p>
      <w:pPr>
        <w:keepLines/>
        <w:spacing w:before="0" w:after="160" w:line="276" w:lineRule="auto"/>
      </w:pPr>
      <w:r>
        <w:rPr>
          <w:rFonts w:ascii="Arial" w:hAnsi="Arial"/>
          <w:b w:val="0"/>
          <w:i w:val="0"/>
          <w:color w:val="000000"/>
          <w:sz w:val="22"/>
        </w:rPr>
        <w:t>PR 04 adds Portal, Organization Portal Subscription, Member Portal Access, primary Vendor Profile, subscription/access middleware, catalog ownership backfill, one-primary-profile enforcement, and migration verification reports.</w:t>
      </w:r>
    </w:p>
    <w:p>
      <w:pPr>
        <w:keepLines/>
        <w:spacing w:before="0" w:after="160" w:line="276" w:lineRule="auto"/>
      </w:pPr>
      <w:r>
        <w:rPr>
          <w:rFonts w:ascii="Arial" w:hAnsi="Arial"/>
          <w:b w:val="0"/>
          <w:i w:val="0"/>
          <w:color w:val="000000"/>
          <w:sz w:val="22"/>
        </w:rPr>
        <w:t>PRs 05 and 06 separately deliver the visible authentication/onboarding and member-access experiences. The Organization switcher appears only when a User has multiple memberships. Custom job roles remain deferred.</w:t>
      </w:r>
    </w:p>
    <w:p>
      <w:pPr>
        <w:keepLines/>
        <w:spacing w:before="0" w:after="160" w:line="276" w:lineRule="auto"/>
      </w:pPr>
      <w:r>
        <w:rPr>
          <w:rFonts w:ascii="Arial" w:hAnsi="Arial"/>
          <w:b w:val="0"/>
          <w:i w:val="0"/>
          <w:color w:val="000000"/>
          <w:sz w:val="22"/>
        </w:rPr>
        <w:t>PR 07 completes profile-scoped authorization across products, versions, categories, templates, and lifecycle actions, including system-record immutability, identifier uniqueness, and primary-version concurrency.</w:t>
      </w:r>
    </w:p>
    <w:p>
      <w:pPr>
        <w:keepLines/>
        <w:spacing w:before="0" w:after="160" w:line="276" w:lineRule="auto"/>
      </w:pPr>
      <w:r>
        <w:rPr>
          <w:rFonts w:ascii="Arial" w:hAnsi="Arial"/>
          <w:b w:val="0"/>
          <w:i w:val="0"/>
          <w:color w:val="000000"/>
          <w:sz w:val="22"/>
        </w:rPr>
        <w:t>PR 08 completes R2 upload/deletion/rollback tests, version-owned media behavior, CSV limits and row errors, profile-aware import/export, and universal-search isolation and the 10,000-product benchmark.</w:t>
      </w:r>
    </w:p>
    <w:p>
      <w:pPr>
        <w:keepLines/>
        <w:spacing w:before="0" w:after="160" w:line="276" w:lineRule="auto"/>
      </w:pPr>
      <w:r>
        <w:rPr>
          <w:rFonts w:ascii="Arial" w:hAnsi="Arial"/>
          <w:b w:val="0"/>
          <w:i w:val="0"/>
          <w:color w:val="000000"/>
          <w:sz w:val="22"/>
        </w:rPr>
        <w:t>PR 09 removes handwritten JWT/session code, the temporary facade, credential fields from the former Vendor data, and transitional ownership columns only after the frontend cutover and migration audits pass.</w:t>
      </w:r>
    </w:p>
    <w:p>
      <w:pPr>
        <w:keepLines/>
        <w:spacing w:before="0" w:after="160" w:line="276" w:lineRule="auto"/>
      </w:pPr>
      <w:r>
        <w:rPr>
          <w:rFonts w:ascii="Arial" w:hAnsi="Arial"/>
          <w:b w:val="0"/>
          <w:i w:val="0"/>
          <w:color w:val="000000"/>
          <w:sz w:val="22"/>
        </w:rPr>
        <w:t>PRs 10 through 12 finish the quick-create, product/version, catalog/template, universal-search, CSV, mobile, keyboard, focus, screen-reader, and responsive behavior already defined in this blueprint.</w:t>
      </w:r>
    </w:p>
    <w:p>
      <w:pPr>
        <w:keepLines/>
        <w:spacing w:before="0" w:after="160" w:line="276" w:lineRule="auto"/>
      </w:pPr>
      <w:r>
        <w:rPr>
          <w:rFonts w:ascii="Arial" w:hAnsi="Arial"/>
          <w:b w:val="0"/>
          <w:i w:val="0"/>
          <w:color w:val="000000"/>
          <w:sz w:val="22"/>
        </w:rPr>
        <w:t>PR 13 contains only clean-install and upgrade verification, release notes, security and license evidence, setup/migration/rollback documentation, final screenshots, and regenerated Markdown/DOCX artifacts.</w:t>
      </w:r>
    </w:p>
    <w:p>
      <w:pPr>
        <w:pStyle w:val="Heading2"/>
      </w:pPr>
      <w:r>
        <w:rPr>
          <w:rFonts w:ascii="Arial" w:hAnsi="Arial"/>
          <w:b w:val="0"/>
          <w:i w:val="0"/>
          <w:color w:val="000000"/>
          <w:sz w:val="32"/>
        </w:rPr>
        <w:t>15. Test and release gates</w:t>
      </w:r>
    </w:p>
    <w:p>
      <w:pPr>
        <w:pStyle w:val="Heading3"/>
      </w:pPr>
      <w:r>
        <w:rPr>
          <w:rFonts w:ascii="Arial" w:hAnsi="Arial"/>
          <w:b w:val="0"/>
          <w:i w:val="0"/>
          <w:color w:val="434343"/>
          <w:sz w:val="28"/>
        </w:rPr>
        <w:t>Identity and tenancy</w:t>
      </w:r>
    </w:p>
    <w:p>
      <w:pPr>
        <w:pStyle w:val="ListBullet"/>
        <w:keepLines/>
        <w:spacing w:after="80" w:line="276" w:lineRule="auto"/>
        <w:ind w:left="720" w:hanging="360"/>
      </w:pPr>
      <w:r>
        <w:rPr>
          <w:rFonts w:ascii="Arial" w:hAnsi="Arial"/>
          <w:b w:val="0"/>
          <w:i w:val="0"/>
          <w:color w:val="000000"/>
          <w:sz w:val="22"/>
        </w:rPr>
        <w:t>Existing users sign in with their existing password after legacy sessions are revoked, and the stored hash upgrades after successful authentication.</w:t>
      </w:r>
    </w:p>
    <w:p>
      <w:pPr>
        <w:pStyle w:val="ListBullet"/>
        <w:keepLines/>
        <w:spacing w:after="80" w:line="276" w:lineRule="auto"/>
        <w:ind w:left="720" w:hanging="360"/>
      </w:pPr>
      <w:r>
        <w:rPr>
          <w:rFonts w:ascii="Arial" w:hAnsi="Arial"/>
          <w:b w:val="0"/>
          <w:i w:val="0"/>
          <w:color w:val="000000"/>
          <w:sz w:val="22"/>
        </w:rPr>
        <w:t>New registration creates the complete User, Organization, Owner, subscription, access, and primary Vendor Profile graph atomically.</w:t>
      </w:r>
    </w:p>
    <w:p>
      <w:pPr>
        <w:pStyle w:val="ListBullet"/>
        <w:keepLines/>
        <w:spacing w:after="80" w:line="276" w:lineRule="auto"/>
        <w:ind w:left="720" w:hanging="360"/>
      </w:pPr>
      <w:r>
        <w:rPr>
          <w:rFonts w:ascii="Arial" w:hAnsi="Arial"/>
          <w:b w:val="0"/>
          <w:i w:val="0"/>
          <w:color w:val="000000"/>
          <w:sz w:val="22"/>
        </w:rPr>
        <w:t>Owners can invite, resend, revoke, and remove members without removing the last Owner.</w:t>
      </w:r>
    </w:p>
    <w:p>
      <w:pPr>
        <w:pStyle w:val="ListBullet"/>
        <w:keepLines/>
        <w:spacing w:after="80" w:line="276" w:lineRule="auto"/>
        <w:ind w:left="720" w:hanging="360"/>
      </w:pPr>
      <w:r>
        <w:rPr>
          <w:rFonts w:ascii="Arial" w:hAnsi="Arial"/>
          <w:b w:val="0"/>
          <w:i w:val="0"/>
          <w:color w:val="000000"/>
          <w:sz w:val="22"/>
        </w:rPr>
        <w:t>Suspended or cancelled subscriptions block portal access.</w:t>
      </w:r>
    </w:p>
    <w:p>
      <w:pPr>
        <w:pStyle w:val="ListBullet"/>
        <w:keepLines/>
        <w:spacing w:after="80" w:line="276" w:lineRule="auto"/>
        <w:ind w:left="720" w:hanging="360"/>
      </w:pPr>
      <w:r>
        <w:rPr>
          <w:rFonts w:ascii="Arial" w:hAnsi="Arial"/>
          <w:b w:val="0"/>
          <w:i w:val="0"/>
          <w:color w:val="000000"/>
          <w:sz w:val="22"/>
        </w:rPr>
        <w:t>Non-owner members without Vendor Portal access are denied.</w:t>
      </w:r>
    </w:p>
    <w:p>
      <w:pPr>
        <w:pStyle w:val="ListBullet"/>
        <w:keepLines/>
        <w:spacing w:after="80" w:line="276" w:lineRule="auto"/>
        <w:ind w:left="720" w:hanging="360"/>
      </w:pPr>
      <w:r>
        <w:rPr>
          <w:rFonts w:ascii="Arial" w:hAnsi="Arial"/>
          <w:b w:val="0"/>
          <w:i w:val="0"/>
          <w:color w:val="000000"/>
          <w:sz w:val="22"/>
        </w:rPr>
        <w:t>Direct cross-Organization and cross-Profile requests are denied.</w:t>
      </w:r>
    </w:p>
    <w:p>
      <w:pPr>
        <w:pStyle w:val="ListBullet"/>
        <w:keepLines/>
        <w:spacing w:after="80" w:line="276" w:lineRule="auto"/>
        <w:ind w:left="720" w:hanging="360"/>
      </w:pPr>
      <w:r>
        <w:rPr>
          <w:rFonts w:ascii="Arial" w:hAnsi="Arial"/>
          <w:b w:val="0"/>
          <w:i w:val="0"/>
          <w:color w:val="000000"/>
          <w:sz w:val="22"/>
        </w:rPr>
        <w:t>Concurrent onboarding cannot create two primary Vendor Profiles.</w:t>
      </w:r>
    </w:p>
    <w:p>
      <w:pPr>
        <w:pStyle w:val="ListBullet"/>
        <w:keepLines/>
        <w:spacing w:after="80" w:line="276" w:lineRule="auto"/>
        <w:ind w:left="720" w:hanging="360"/>
      </w:pPr>
      <w:r>
        <w:rPr>
          <w:rFonts w:ascii="Arial" w:hAnsi="Arial"/>
          <w:b w:val="0"/>
          <w:i w:val="0"/>
          <w:color w:val="000000"/>
          <w:sz w:val="22"/>
        </w:rPr>
        <w:t>Verification, password reset, MFA recovery, trusted sessions, and session revocation are covered.</w:t>
      </w:r>
    </w:p>
    <w:p>
      <w:pPr>
        <w:pStyle w:val="Heading3"/>
      </w:pPr>
      <w:r>
        <w:rPr>
          <w:rFonts w:ascii="Arial" w:hAnsi="Arial"/>
          <w:b w:val="0"/>
          <w:i w:val="0"/>
          <w:color w:val="434343"/>
          <w:sz w:val="28"/>
        </w:rPr>
        <w:t>Vendor behavior</w:t>
      </w:r>
    </w:p>
    <w:p>
      <w:pPr>
        <w:pStyle w:val="ListBullet"/>
        <w:keepLines/>
        <w:spacing w:after="80" w:line="276" w:lineRule="auto"/>
        <w:ind w:left="720" w:hanging="360"/>
      </w:pPr>
      <w:r>
        <w:rPr>
          <w:rFonts w:ascii="Arial" w:hAnsi="Arial"/>
          <w:b w:val="0"/>
          <w:i w:val="0"/>
          <w:color w:val="000000"/>
          <w:sz w:val="22"/>
        </w:rPr>
        <w:t>A first-time vendor creates a product without visiting Categories or Templates.</w:t>
      </w:r>
    </w:p>
    <w:p>
      <w:pPr>
        <w:pStyle w:val="ListBullet"/>
        <w:keepLines/>
        <w:spacing w:after="80" w:line="276" w:lineRule="auto"/>
        <w:ind w:left="720" w:hanging="360"/>
      </w:pPr>
      <w:r>
        <w:rPr>
          <w:rFonts w:ascii="Arial" w:hAnsi="Arial"/>
          <w:b w:val="0"/>
          <w:i w:val="0"/>
          <w:color w:val="000000"/>
          <w:sz w:val="22"/>
        </w:rPr>
        <w:t>Quick Create works by mouse, touch, and keyboard on desktop and mobile.</w:t>
      </w:r>
    </w:p>
    <w:p>
      <w:pPr>
        <w:pStyle w:val="ListBullet"/>
        <w:keepLines/>
        <w:spacing w:after="80" w:line="276" w:lineRule="auto"/>
        <w:ind w:left="720" w:hanging="360"/>
      </w:pPr>
      <w:r>
        <w:rPr>
          <w:rFonts w:ascii="Arial" w:hAnsi="Arial"/>
          <w:b w:val="0"/>
          <w:i w:val="0"/>
          <w:color w:val="000000"/>
          <w:sz w:val="22"/>
        </w:rPr>
        <w:t>Product and version status support Draft, Active, and Discontinued.</w:t>
      </w:r>
    </w:p>
    <w:p>
      <w:pPr>
        <w:pStyle w:val="ListBullet"/>
        <w:keepLines/>
        <w:spacing w:after="80" w:line="276" w:lineRule="auto"/>
        <w:ind w:left="720" w:hanging="360"/>
      </w:pPr>
      <w:r>
        <w:rPr>
          <w:rFonts w:ascii="Arial" w:hAnsi="Arial"/>
          <w:b w:val="0"/>
          <w:i w:val="0"/>
          <w:color w:val="000000"/>
          <w:sz w:val="22"/>
        </w:rPr>
        <w:t>Existing products migrate without losing identifiers, characteristics, QR data, or images.</w:t>
      </w:r>
    </w:p>
    <w:p>
      <w:pPr>
        <w:pStyle w:val="ListBullet"/>
        <w:keepLines/>
        <w:spacing w:after="80" w:line="276" w:lineRule="auto"/>
        <w:ind w:left="720" w:hanging="360"/>
      </w:pPr>
      <w:r>
        <w:rPr>
          <w:rFonts w:ascii="Arial" w:hAnsi="Arial"/>
          <w:b w:val="0"/>
          <w:i w:val="0"/>
          <w:color w:val="000000"/>
          <w:sz w:val="22"/>
        </w:rPr>
        <w:t>Version SKUs are profile-unique and primary-version changes are concurrency-safe.</w:t>
      </w:r>
    </w:p>
    <w:p>
      <w:pPr>
        <w:pStyle w:val="ListBullet"/>
        <w:keepLines/>
        <w:spacing w:after="80" w:line="276" w:lineRule="auto"/>
        <w:ind w:left="720" w:hanging="360"/>
      </w:pPr>
      <w:r>
        <w:rPr>
          <w:rFonts w:ascii="Arial" w:hAnsi="Arial"/>
          <w:b w:val="0"/>
          <w:i w:val="0"/>
          <w:color w:val="000000"/>
          <w:sz w:val="22"/>
        </w:rPr>
        <w:t>System seeds are idempotent and never mutate profile-owned data.</w:t>
      </w:r>
    </w:p>
    <w:p>
      <w:pPr>
        <w:pStyle w:val="ListBullet"/>
        <w:keepLines/>
        <w:spacing w:after="80" w:line="276" w:lineRule="auto"/>
        <w:ind w:left="720" w:hanging="360"/>
      </w:pPr>
      <w:r>
        <w:rPr>
          <w:rFonts w:ascii="Arial" w:hAnsi="Arial"/>
          <w:b w:val="0"/>
          <w:i w:val="0"/>
          <w:color w:val="000000"/>
          <w:sz w:val="22"/>
        </w:rPr>
        <w:t>Universal search ranks exact identifiers first and never crosses Organization or Profile boundaries.</w:t>
      </w:r>
    </w:p>
    <w:p>
      <w:pPr>
        <w:pStyle w:val="ListBullet"/>
        <w:keepLines/>
        <w:spacing w:after="80" w:line="276" w:lineRule="auto"/>
        <w:ind w:left="720" w:hanging="360"/>
      </w:pPr>
      <w:r>
        <w:rPr>
          <w:rFonts w:ascii="Arial" w:hAnsi="Arial"/>
          <w:b w:val="0"/>
          <w:i w:val="0"/>
          <w:color w:val="000000"/>
          <w:sz w:val="22"/>
        </w:rPr>
        <w:t>CSV uses the same category, version, identifier, status, and authorization rules as the UI.</w:t>
      </w:r>
    </w:p>
    <w:p>
      <w:pPr>
        <w:pStyle w:val="ListBullet"/>
        <w:keepLines/>
        <w:spacing w:after="80" w:line="276" w:lineRule="auto"/>
        <w:ind w:left="720" w:hanging="360"/>
      </w:pPr>
      <w:r>
        <w:rPr>
          <w:rFonts w:ascii="Arial" w:hAnsi="Arial"/>
          <w:b w:val="0"/>
          <w:i w:val="0"/>
          <w:color w:val="000000"/>
          <w:sz w:val="22"/>
        </w:rPr>
        <w:t>R2 cleanup never deletes an object that another image association still references.</w:t>
      </w:r>
    </w:p>
    <w:p>
      <w:pPr>
        <w:pStyle w:val="Heading3"/>
      </w:pPr>
      <w:r>
        <w:rPr>
          <w:rFonts w:ascii="Arial" w:hAnsi="Arial"/>
          <w:b w:val="0"/>
          <w:i w:val="0"/>
          <w:color w:val="434343"/>
          <w:sz w:val="28"/>
        </w:rPr>
        <w:t>Required checks</w:t>
      </w:r>
    </w:p>
    <w:p>
      <w:pPr>
        <w:spacing w:before="60" w:after="160" w:line="240" w:lineRule="auto"/>
        <w:ind w:left="288" w:right="288"/>
      </w:pPr>
      <w:r>
        <w:rPr>
          <w:rFonts w:ascii="Courier New" w:hAnsi="Courier New"/>
          <w:b w:val="0"/>
          <w:i w:val="0"/>
          <w:color w:val="434343"/>
          <w:sz w:val="17"/>
        </w:rPr>
        <w:t>npm.cmd ci</w:t>
      </w:r>
      <w:r>
        <w:br/>
      </w:r>
      <w:r>
        <w:rPr>
          <w:rFonts w:ascii="Courier New" w:hAnsi="Courier New"/>
          <w:b w:val="0"/>
          <w:i w:val="0"/>
          <w:color w:val="434343"/>
          <w:sz w:val="17"/>
        </w:rPr>
        <w:t>npm.cmd run generate --workspace @inventory-system/database</w:t>
      </w:r>
      <w:r>
        <w:br/>
      </w:r>
      <w:r>
        <w:rPr>
          <w:rFonts w:ascii="Courier New" w:hAnsi="Courier New"/>
          <w:b w:val="0"/>
          <w:i w:val="0"/>
          <w:color w:val="434343"/>
          <w:sz w:val="17"/>
        </w:rPr>
        <w:t>npx.cmd prisma migrate status --schema packages/database/prisma/schema.prisma</w:t>
      </w:r>
      <w:r>
        <w:br/>
      </w:r>
      <w:r>
        <w:rPr>
          <w:rFonts w:ascii="Courier New" w:hAnsi="Courier New"/>
          <w:b w:val="0"/>
          <w:i w:val="0"/>
          <w:color w:val="434343"/>
          <w:sz w:val="17"/>
        </w:rPr>
        <w:t>npm.cmd run build</w:t>
      </w:r>
      <w:r>
        <w:br/>
      </w:r>
      <w:r>
        <w:rPr>
          <w:rFonts w:ascii="Courier New" w:hAnsi="Courier New"/>
          <w:b w:val="0"/>
          <w:i w:val="0"/>
          <w:color w:val="434343"/>
          <w:sz w:val="17"/>
        </w:rPr>
        <w:t>npm.cmd test</w:t>
      </w:r>
      <w:r>
        <w:br/>
      </w:r>
      <w:r>
        <w:rPr>
          <w:rFonts w:ascii="Courier New" w:hAnsi="Courier New"/>
          <w:b w:val="0"/>
          <w:i w:val="0"/>
          <w:color w:val="434343"/>
          <w:sz w:val="17"/>
        </w:rPr>
        <w:t>npm.cmd run lint</w:t>
      </w:r>
      <w:r>
        <w:br/>
      </w:r>
      <w:r>
        <w:rPr>
          <w:rFonts w:ascii="Courier New" w:hAnsi="Courier New"/>
          <w:b w:val="0"/>
          <w:i w:val="0"/>
          <w:color w:val="434343"/>
          <w:sz w:val="17"/>
        </w:rPr>
        <w:t>npm.cmd audit --omit=dev --audit-level=high</w:t>
      </w:r>
    </w:p>
    <w:p>
      <w:pPr>
        <w:keepLines/>
        <w:spacing w:before="0" w:after="160" w:line="276" w:lineRule="auto"/>
      </w:pPr>
      <w:r>
        <w:rPr>
          <w:rFonts w:ascii="Arial" w:hAnsi="Arial"/>
          <w:b w:val="0"/>
          <w:i w:val="0"/>
          <w:color w:val="000000"/>
          <w:sz w:val="22"/>
        </w:rPr>
        <w:t>The release gate also includes migration from the pre-Better-Auth schema, clean-database migration, seed repetition, R2 regression tests, keyboard and screen-reader browser flows, universal-search benchmarking, Markdown/DOCX content parity, title sanitization, accessibility audit, and visual inspection of every rendered DOCX page.</w:t>
      </w:r>
    </w:p>
    <w:p>
      <w:pPr>
        <w:pStyle w:val="Heading2"/>
      </w:pPr>
      <w:r>
        <w:rPr>
          <w:rFonts w:ascii="Arial" w:hAnsi="Arial"/>
          <w:b w:val="0"/>
          <w:i w:val="0"/>
          <w:color w:val="000000"/>
          <w:sz w:val="32"/>
        </w:rPr>
        <w:t>16. Success measures</w:t>
      </w:r>
    </w:p>
    <w:p>
      <w:pPr>
        <w:pStyle w:val="ListBullet"/>
        <w:keepLines/>
        <w:spacing w:after="80" w:line="276" w:lineRule="auto"/>
        <w:ind w:left="720" w:hanging="360"/>
      </w:pPr>
      <w:r>
        <w:rPr>
          <w:rFonts w:ascii="Arial" w:hAnsi="Arial"/>
          <w:b w:val="0"/>
          <w:i w:val="0"/>
          <w:color w:val="000000"/>
          <w:sz w:val="22"/>
        </w:rPr>
        <w:t>Median time from registration to first product under three minutes.</w:t>
      </w:r>
    </w:p>
    <w:p>
      <w:pPr>
        <w:pStyle w:val="ListBullet"/>
        <w:keepLines/>
        <w:spacing w:after="80" w:line="276" w:lineRule="auto"/>
        <w:ind w:left="720" w:hanging="360"/>
      </w:pPr>
      <w:r>
        <w:rPr>
          <w:rFonts w:ascii="Arial" w:hAnsi="Arial"/>
          <w:b w:val="0"/>
          <w:i w:val="0"/>
          <w:color w:val="000000"/>
          <w:sz w:val="22"/>
        </w:rPr>
        <w:t>Successful migration rate for existing users, passwords, and catalog records.</w:t>
      </w:r>
    </w:p>
    <w:p>
      <w:pPr>
        <w:pStyle w:val="ListBullet"/>
        <w:keepLines/>
        <w:spacing w:after="80" w:line="276" w:lineRule="auto"/>
        <w:ind w:left="720" w:hanging="360"/>
      </w:pPr>
      <w:r>
        <w:rPr>
          <w:rFonts w:ascii="Arial" w:hAnsi="Arial"/>
          <w:b w:val="0"/>
          <w:i w:val="0"/>
          <w:color w:val="000000"/>
          <w:sz w:val="22"/>
        </w:rPr>
        <w:t>Invitation acceptance and Vendor Portal access success rate.</w:t>
      </w:r>
    </w:p>
    <w:p>
      <w:pPr>
        <w:pStyle w:val="ListBullet"/>
        <w:keepLines/>
        <w:spacing w:after="80" w:line="276" w:lineRule="auto"/>
        <w:ind w:left="720" w:hanging="360"/>
      </w:pPr>
      <w:r>
        <w:rPr>
          <w:rFonts w:ascii="Arial" w:hAnsi="Arial"/>
          <w:b w:val="0"/>
          <w:i w:val="0"/>
          <w:color w:val="000000"/>
          <w:sz w:val="22"/>
        </w:rPr>
        <w:t>Zero cross-Organization or cross-Profile authorization failures in adversarial tests.</w:t>
      </w:r>
    </w:p>
    <w:p>
      <w:pPr>
        <w:pStyle w:val="ListBullet"/>
        <w:keepLines/>
        <w:spacing w:after="80" w:line="276" w:lineRule="auto"/>
        <w:ind w:left="720" w:hanging="360"/>
      </w:pPr>
      <w:r>
        <w:rPr>
          <w:rFonts w:ascii="Arial" w:hAnsi="Arial"/>
          <w:b w:val="0"/>
          <w:i w:val="0"/>
          <w:color w:val="000000"/>
          <w:sz w:val="22"/>
        </w:rPr>
        <w:t>Product/version workflow completion and error rate.</w:t>
      </w:r>
    </w:p>
    <w:p>
      <w:pPr>
        <w:pStyle w:val="ListBullet"/>
        <w:keepLines/>
        <w:spacing w:after="80" w:line="276" w:lineRule="auto"/>
        <w:ind w:left="720" w:hanging="360"/>
      </w:pPr>
      <w:r>
        <w:rPr>
          <w:rFonts w:ascii="Arial" w:hAnsi="Arial"/>
          <w:b w:val="0"/>
          <w:i w:val="0"/>
          <w:color w:val="000000"/>
          <w:sz w:val="22"/>
        </w:rPr>
        <w:t>Universal-search latency, zero-result rate, and selected-result rate.</w:t>
      </w:r>
    </w:p>
    <w:p>
      <w:pPr>
        <w:pStyle w:val="ListBullet"/>
        <w:keepLines/>
        <w:spacing w:after="80" w:line="276" w:lineRule="auto"/>
        <w:ind w:left="720" w:hanging="360"/>
      </w:pPr>
      <w:r>
        <w:rPr>
          <w:rFonts w:ascii="Arial" w:hAnsi="Arial"/>
          <w:b w:val="0"/>
          <w:i w:val="0"/>
          <w:color w:val="000000"/>
          <w:sz w:val="22"/>
        </w:rPr>
        <w:t>CSV accepted-row rate and correction rate.</w:t>
      </w:r>
    </w:p>
    <w:p>
      <w:pPr>
        <w:pStyle w:val="ListBullet"/>
        <w:keepLines/>
        <w:spacing w:after="80" w:line="276" w:lineRule="auto"/>
        <w:ind w:left="720" w:hanging="360"/>
      </w:pPr>
      <w:r>
        <w:rPr>
          <w:rFonts w:ascii="Arial" w:hAnsi="Arial"/>
          <w:b w:val="0"/>
          <w:i w:val="0"/>
          <w:color w:val="000000"/>
          <w:sz w:val="22"/>
        </w:rPr>
        <w:t>Zero unresolved high-severity release, security, migration, or accessibility failures.</w:t>
      </w:r>
    </w:p>
    <w:p>
      <w:pPr>
        <w:pStyle w:val="Heading2"/>
      </w:pPr>
      <w:r>
        <w:rPr>
          <w:rFonts w:ascii="Arial" w:hAnsi="Arial"/>
          <w:b w:val="0"/>
          <w:i w:val="0"/>
          <w:color w:val="000000"/>
          <w:sz w:val="32"/>
        </w:rPr>
        <w:t>17. Pull-request standard</w:t>
      </w:r>
    </w:p>
    <w:p>
      <w:pPr>
        <w:keepLines/>
        <w:spacing w:before="0" w:after="160" w:line="276" w:lineRule="auto"/>
      </w:pPr>
      <w:r>
        <w:rPr>
          <w:rFonts w:ascii="Arial" w:hAnsi="Arial"/>
          <w:b w:val="0"/>
          <w:i w:val="0"/>
          <w:color w:val="000000"/>
          <w:sz w:val="22"/>
        </w:rPr>
        <w:t>Every pull request includes Summary, Problem, Why Now, Selected Approach, Included and Excluded Scope, User-visible Behavior, Technical Implementation, Public Contract Changes, Migration and Rollback, Security and Tenancy, Verification Results, screenshots where visible, Dependency PR, Documentation Updates, and Deferred Work.</w:t>
      </w:r>
    </w:p>
    <w:p>
      <w:pPr>
        <w:keepLines/>
        <w:spacing w:before="0" w:after="160" w:line="276" w:lineRule="auto"/>
      </w:pPr>
      <w:r>
        <w:rPr>
          <w:rFonts w:ascii="Arial" w:hAnsi="Arial"/>
          <w:b w:val="0"/>
          <w:i w:val="0"/>
          <w:color w:val="000000"/>
          <w:sz w:val="22"/>
        </w:rPr>
        <w:t>Backend pull requests do not contain pages or feature UI. Frontend pull requests do not add migrations or backend rules. If a frontend implementation reveals a missing contract, a focused backend follow-up merges first. The PR description explains the current delta and links to this canonical blueprint instead of repeating the entire roadmap.</w:t>
      </w:r>
    </w:p>
    <w:p>
      <w:pPr>
        <w:pStyle w:val="Heading2"/>
      </w:pPr>
      <w:r>
        <w:rPr>
          <w:rFonts w:ascii="Arial" w:hAnsi="Arial"/>
          <w:b w:val="0"/>
          <w:i w:val="0"/>
          <w:color w:val="000000"/>
          <w:sz w:val="32"/>
        </w:rPr>
        <w:t>18. Release boundary and inventory handoff</w:t>
      </w:r>
    </w:p>
    <w:p>
      <w:pPr>
        <w:keepLines/>
        <w:spacing w:before="0" w:after="160" w:line="276" w:lineRule="auto"/>
      </w:pPr>
      <w:r>
        <w:rPr>
          <w:rFonts w:ascii="Arial" w:hAnsi="Arial"/>
          <w:b w:val="0"/>
          <w:i w:val="0"/>
          <w:color w:val="000000"/>
          <w:sz w:val="22"/>
        </w:rPr>
        <w:t>This implementation run ends when PR 13 is merged and the repository is release-ready. It does not provision an external staging or production deployment.</w:t>
      </w:r>
    </w:p>
    <w:p>
      <w:pPr>
        <w:keepLines/>
        <w:spacing w:before="0" w:after="160" w:line="276" w:lineRule="auto"/>
      </w:pPr>
      <w:r>
        <w:rPr>
          <w:rFonts w:ascii="Arial" w:hAnsi="Arial"/>
          <w:b w:val="0"/>
          <w:i w:val="0"/>
          <w:color w:val="000000"/>
          <w:sz w:val="22"/>
        </w:rPr>
        <w:t xml:space="preserve">After the vendor release, create </w:t>
      </w:r>
      <w:r>
        <w:rPr>
          <w:rFonts w:ascii="Arial" w:hAnsi="Arial"/>
          <w:b w:val="0"/>
          <w:i w:val="0"/>
          <w:color w:val="000000"/>
          <w:sz w:val="22"/>
        </w:rPr>
        <w:t>docs/inventory-portal-handoff.md</w:t>
      </w:r>
      <w:r>
        <w:rPr>
          <w:rFonts w:ascii="Arial" w:hAnsi="Arial"/>
          <w:b w:val="0"/>
          <w:i w:val="0"/>
          <w:color w:val="000000"/>
          <w:sz w:val="22"/>
        </w:rPr>
        <w:t xml:space="preserve"> containing only the reusable User/Organization model, membership and portal-access rules, subscription service, Vendor Profile separation, Prisma 7 conventions, Better Auth context, shared UI/contracts, and explicitly deferred role decisions. Then begin Inventory Portal planning and implementation in a separate Codex chat from the completed </w:t>
      </w:r>
      <w:r>
        <w:rPr>
          <w:rFonts w:ascii="Arial" w:hAnsi="Arial"/>
          <w:b w:val="0"/>
          <w:i w:val="0"/>
          <w:color w:val="000000"/>
          <w:sz w:val="22"/>
        </w:rPr>
        <w:t>develop</w:t>
      </w:r>
      <w:r>
        <w:rPr>
          <w:rFonts w:ascii="Arial" w:hAnsi="Arial"/>
          <w:b w:val="0"/>
          <w:i w:val="0"/>
          <w:color w:val="000000"/>
          <w:sz w:val="22"/>
        </w:rPr>
        <w:t xml:space="preserve"> state.</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720"/>
        </w:tabs>
        <w:ind w:left="720" w:hanging="360"/>
      </w:pPr>
    </w:lvl>
  </w:abstractNum>
  <w:num w:numId="10">
    <w:abstractNumId w:val="9"/>
  </w:num>
  <w:abstractNum w:abstractNumId="10">
    <w:multiLevelType w:val="singleLevel"/>
    <w:lvl w:ilvl="0">
      <w:start w:val="1"/>
      <w:numFmt w:val="decimal"/>
      <w:lvlText w:val="%1."/>
      <w:lvlJc w:val="left"/>
      <w:pPr>
        <w:tabs>
          <w:tab w:val="num" w:pos="720"/>
        </w:tabs>
        <w:ind w:left="720" w:hanging="36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line="276" w:lineRule="auto"/>
      <w:outlineLvl w:val="0"/>
    </w:pPr>
    <w:rPr>
      <w:rFonts w:asciiTheme="majorHAnsi" w:eastAsiaTheme="majorEastAsia" w:hAnsiTheme="majorHAnsi" w:cstheme="majorBidi" w:ascii="Arial" w:hAnsi="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line="276" w:lineRule="auto"/>
      <w:outlineLvl w:val="1"/>
    </w:pPr>
    <w:rPr>
      <w:rFonts w:asciiTheme="majorHAnsi" w:eastAsiaTheme="majorEastAsia" w:hAnsiTheme="majorHAnsi" w:cstheme="majorBidi" w:ascii="Arial" w:hAnsi="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line="276" w:lineRule="auto"/>
      <w:outlineLvl w:val="2"/>
    </w:pPr>
    <w:rPr>
      <w:rFonts w:asciiTheme="majorHAnsi" w:eastAsiaTheme="majorEastAsia" w:hAnsiTheme="majorHAnsi" w:cstheme="majorBidi" w:ascii="Arial" w:hAnsi="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ind w:left="720" w:hanging="360"/>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ind w:left="720" w:hanging="360"/>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Vendor Portal Implementation Blueprint</dc:title>
  <dc:subject>Google Docs-ready implementation plan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