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</w:pPr>
      <w:r>
        <w:rPr>
          <w:rFonts w:ascii="Arial" w:hAnsi="Arial"/>
          <w:b w:val="0"/>
          <w:i w:val="0"/>
          <w:color w:val="000000"/>
          <w:sz w:val="52"/>
        </w:rPr>
        <w:t>Vendor Portal Implementation Blueprint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Status:</w:t>
      </w:r>
      <w:r>
        <w:rPr>
          <w:rFonts w:ascii="Arial" w:hAnsi="Arial"/>
          <w:b w:val="0"/>
          <w:i w:val="0"/>
          <w:color w:val="000000"/>
          <w:sz w:val="22"/>
        </w:rPr>
        <w:t xml:space="preserve"> Proposed </w:t>
      </w:r>
      <w:r>
        <w:rPr>
          <w:rFonts w:ascii="Arial" w:hAnsi="Arial"/>
          <w:b w:val="0"/>
          <w:i w:val="0"/>
          <w:color w:val="000000"/>
          <w:sz w:val="22"/>
        </w:rPr>
        <w:t>Reviewed:</w:t>
      </w:r>
      <w:r>
        <w:rPr>
          <w:rFonts w:ascii="Arial" w:hAnsi="Arial"/>
          <w:b w:val="0"/>
          <w:i w:val="0"/>
          <w:color w:val="000000"/>
          <w:sz w:val="22"/>
        </w:rPr>
        <w:t xml:space="preserve"> 2026-08-25 </w:t>
      </w:r>
      <w:r>
        <w:rPr>
          <w:rFonts w:ascii="Arial" w:hAnsi="Arial"/>
          <w:b w:val="0"/>
          <w:i w:val="0"/>
          <w:color w:val="000000"/>
          <w:sz w:val="22"/>
        </w:rPr>
        <w:t>Scope:</w:t>
      </w:r>
      <w:r>
        <w:rPr>
          <w:rFonts w:ascii="Arial" w:hAnsi="Arial"/>
          <w:b w:val="0"/>
          <w:i w:val="0"/>
          <w:color w:val="000000"/>
          <w:sz w:val="22"/>
        </w:rPr>
        <w:t xml:space="preserve"> Vendor/producer portal, shared product catalog, and its integration boundary with the multi-location inventory platform </w:t>
      </w:r>
      <w:r>
        <w:rPr>
          <w:rFonts w:ascii="Arial" w:hAnsi="Arial"/>
          <w:b w:val="0"/>
          <w:i w:val="0"/>
          <w:color w:val="000000"/>
          <w:sz w:val="22"/>
        </w:rPr>
        <w:t>Repository baseline:</w:t>
      </w:r>
      <w:r>
        <w:rPr>
          <w:rFonts w:ascii="Arial" w:hAnsi="Arial"/>
          <w:b w:val="0"/>
          <w:i w:val="0"/>
          <w:color w:val="000000"/>
          <w:sz w:val="22"/>
        </w:rPr>
        <w:t xml:space="preserve"> Next.js vendor portal + Express API + PostgreSQL/Prisma monorepo</w:t>
      </w:r>
    </w:p>
    <w:p>
      <w:pPr>
        <w:pStyle w:val="Heading2"/>
      </w:pPr>
      <w:r>
        <w:rPr>
          <w:rFonts w:ascii="Arial" w:hAnsi="Arial"/>
          <w:b w:val="0"/>
          <w:i w:val="0"/>
          <w:color w:val="000000"/>
          <w:sz w:val="32"/>
        </w:rPr>
        <w:t>1. Executive summary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 xml:space="preserve">The repository already contains the outline of a usable vendor portal: registration and login, a dashboard, products, categories, characteristic templates, image upload, QR creation, and CSV import/export. It is a prototype rather than a production-ready foundation. The most important next step is not adding more screens; it is stabilizing the contracts and separating four concepts that are currently collapsed into one </w:t>
      </w:r>
      <w:r>
        <w:rPr>
          <w:rFonts w:ascii="Arial" w:hAnsi="Arial"/>
          <w:b w:val="0"/>
          <w:i w:val="0"/>
          <w:color w:val="000000"/>
          <w:sz w:val="22"/>
        </w:rPr>
        <w:t>Product</w:t>
      </w:r>
      <w:r>
        <w:rPr>
          <w:rFonts w:ascii="Arial" w:hAnsi="Arial"/>
          <w:b w:val="0"/>
          <w:i w:val="0"/>
          <w:color w:val="000000"/>
          <w:sz w:val="22"/>
        </w:rPr>
        <w:t xml:space="preserve"> table:</w:t>
      </w:r>
    </w:p>
    <w:p>
      <w:pPr>
        <w:pStyle w:val="ListNumber"/>
        <w:spacing w:after="80" w:line="276" w:lineRule="auto"/>
        <w:ind w:left="720" w:hanging="360"/>
      </w:pPr>
      <w:r>
        <w:rPr>
          <w:rFonts w:ascii="Arial" w:hAnsi="Arial"/>
          <w:b/>
          <w:i w:val="0"/>
          <w:color w:val="000000"/>
          <w:sz w:val="22"/>
        </w:rPr>
        <w:t>Canonical product data</w:t>
      </w:r>
      <w:r>
        <w:rPr>
          <w:rFonts w:ascii="Arial" w:hAnsi="Arial"/>
          <w:b w:val="0"/>
          <w:i w:val="0"/>
          <w:color w:val="000000"/>
          <w:sz w:val="22"/>
        </w:rPr>
        <w:t xml:space="preserve"> — facts about a product shared by every retailer.</w:t>
      </w:r>
    </w:p>
    <w:p>
      <w:pPr>
        <w:pStyle w:val="ListNumber"/>
        <w:spacing w:after="80" w:line="276" w:lineRule="auto"/>
        <w:ind w:left="720" w:hanging="360"/>
      </w:pPr>
      <w:r>
        <w:rPr>
          <w:rFonts w:ascii="Arial" w:hAnsi="Arial"/>
          <w:b/>
          <w:i w:val="0"/>
          <w:color w:val="000000"/>
          <w:sz w:val="22"/>
        </w:rPr>
        <w:t>Vendor ownership and submissions</w:t>
      </w:r>
      <w:r>
        <w:rPr>
          <w:rFonts w:ascii="Arial" w:hAnsi="Arial"/>
          <w:b w:val="0"/>
          <w:i w:val="0"/>
          <w:color w:val="000000"/>
          <w:sz w:val="22"/>
        </w:rPr>
        <w:t xml:space="preserve"> — who is allowed to propose or publish those facts.</w:t>
      </w:r>
    </w:p>
    <w:p>
      <w:pPr>
        <w:pStyle w:val="ListNumber"/>
        <w:spacing w:after="80" w:line="276" w:lineRule="auto"/>
        <w:ind w:left="720" w:hanging="360"/>
      </w:pPr>
      <w:r>
        <w:rPr>
          <w:rFonts w:ascii="Arial" w:hAnsi="Arial"/>
          <w:b/>
          <w:i w:val="0"/>
          <w:color w:val="000000"/>
          <w:sz w:val="22"/>
        </w:rPr>
        <w:t>Sellable variants and packaging</w:t>
      </w:r>
      <w:r>
        <w:rPr>
          <w:rFonts w:ascii="Arial" w:hAnsi="Arial"/>
          <w:b w:val="0"/>
          <w:i w:val="0"/>
          <w:color w:val="000000"/>
          <w:sz w:val="22"/>
        </w:rPr>
        <w:t xml:space="preserve"> — size, color, case, each, pallet, and their identifiers.</w:t>
      </w:r>
    </w:p>
    <w:p>
      <w:pPr>
        <w:pStyle w:val="ListNumber"/>
        <w:spacing w:after="80" w:line="276" w:lineRule="auto"/>
        <w:ind w:left="720" w:hanging="360"/>
      </w:pPr>
      <w:r>
        <w:rPr>
          <w:rFonts w:ascii="Arial" w:hAnsi="Arial"/>
          <w:b/>
          <w:i w:val="0"/>
          <w:color w:val="000000"/>
          <w:sz w:val="22"/>
        </w:rPr>
        <w:t>Retailer inventory</w:t>
      </w:r>
      <w:r>
        <w:rPr>
          <w:rFonts w:ascii="Arial" w:hAnsi="Arial"/>
          <w:b w:val="0"/>
          <w:i w:val="0"/>
          <w:color w:val="000000"/>
          <w:sz w:val="22"/>
        </w:rPr>
        <w:t xml:space="preserve"> — retailer SKU, location, quantity, reservations, and stock movements.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 xml:space="preserve">The recommended shape is a </w:t>
      </w:r>
      <w:r>
        <w:rPr>
          <w:rFonts w:ascii="Arial" w:hAnsi="Arial"/>
          <w:b w:val="0"/>
          <w:i w:val="0"/>
          <w:color w:val="000000"/>
          <w:sz w:val="22"/>
        </w:rPr>
        <w:t>modular monolith</w:t>
      </w:r>
      <w:r>
        <w:rPr>
          <w:rFonts w:ascii="Arial" w:hAnsi="Arial"/>
          <w:b w:val="0"/>
          <w:i w:val="0"/>
          <w:color w:val="000000"/>
          <w:sz w:val="22"/>
        </w:rPr>
        <w:t>, not microservices: keep Next.js, Express, PostgreSQL, Prisma, and the monorepo, but establish catalog, identity, media, ingestion, and publication modules with explicit contracts and events. This supports a small shop without imposing enterprise complexity while leaving clean boundaries for later extraction.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Cloudflare R2 is the natural storage choice because the code already anticipates it. Use private originals in R2, short-lived presigned uploads, a controlled public delivery domain, Cloudflare image transformations, and asynchronous post-upload processing. Keep search in PostgreSQL initially (</w:t>
      </w:r>
      <w:r>
        <w:rPr>
          <w:rFonts w:ascii="Arial" w:hAnsi="Arial"/>
          <w:b w:val="0"/>
          <w:i w:val="0"/>
          <w:color w:val="000000"/>
          <w:sz w:val="22"/>
        </w:rPr>
        <w:t>pg_trgm</w:t>
      </w:r>
      <w:r>
        <w:rPr>
          <w:rFonts w:ascii="Arial" w:hAnsi="Arial"/>
          <w:b w:val="0"/>
          <w:i w:val="0"/>
          <w:color w:val="000000"/>
          <w:sz w:val="22"/>
        </w:rPr>
        <w:t>, full-text search, and selected JSONB indexes); introduce OpenSearch only after measured query or facet limits justify it.</w:t>
      </w:r>
    </w:p>
    <w:p>
      <w:pPr>
        <w:pStyle w:val="Heading2"/>
      </w:pPr>
      <w:r>
        <w:rPr>
          <w:rFonts w:ascii="Arial" w:hAnsi="Arial"/>
          <w:b w:val="0"/>
          <w:i w:val="0"/>
          <w:color w:val="000000"/>
          <w:sz w:val="32"/>
        </w:rPr>
        <w:t>2. Product principles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A first-time vendor should publish a simple product draft in under five minutes.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Complexity should be progressive: advanced identifiers, packaging, variants, localization, and compliance appear only when relevant.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A vendor never edits a retailer's stock. It publishes trusted master data that retailer catalog items can reference.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A retailer may override local merchandising fields without forking canonical product identity.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Every product change is attributable, reviewable, reversible, and versioned.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A GTIN is a governed identifier, not a number the application may invent.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System templates provide interoperability; vendor templates extend them without changing shared definitions.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Tenant isolation is enforced at the service and database layers, not only by controller filters.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The small-store path and enterprise path use the same model; enterprise features add permissions, approval, bulk jobs, APIs, and SSO.</w:t>
      </w:r>
    </w:p>
    <w:p>
      <w:pPr>
        <w:pStyle w:val="Heading2"/>
      </w:pPr>
      <w:r>
        <w:rPr>
          <w:rFonts w:ascii="Arial" w:hAnsi="Arial"/>
          <w:b w:val="0"/>
          <w:i w:val="0"/>
          <w:color w:val="000000"/>
          <w:sz w:val="32"/>
        </w:rPr>
        <w:t>3. Scope boundaries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Vendor portal owns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Vendor organization, team, profile, verification, and brand claims.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Product families, sellable variants, packaging, identifiers, descriptions, attributes, media, documents, and certifications.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Vendor templates and extensions to platform templates.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Drafts, validation, submissions, moderation, publication, revisions, and discontinuation.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Bulk ingestion, data quality, API keys, webhooks, and export.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Core catalog owns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Canonical identity and duplicate/merge decisions.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Global category taxonomy and platform attribute definitions.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Published product revisions and consumer-facing resolver pages.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Links between vendor submissions and canonical products.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Retail inventory owns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Retail organization, stores, warehouses, bins, retailer SKUs, suppliers, cost and price.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On-hand, reserved, available, in-transit, reorder points, batches, lots, serials, and stock ledger.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 xml:space="preserve">A </w:t>
      </w:r>
      <w:r>
        <w:rPr>
          <w:rFonts w:ascii="Courier New" w:hAnsi="Courier New"/>
          <w:b w:val="0"/>
          <w:i w:val="0"/>
          <w:color w:val="000000"/>
          <w:sz w:val="20"/>
        </w:rPr>
        <w:t>RetailerCatalogItem</w:t>
      </w:r>
      <w:r>
        <w:rPr>
          <w:rFonts w:ascii="Arial" w:hAnsi="Arial"/>
          <w:b w:val="0"/>
          <w:i w:val="0"/>
          <w:color w:val="000000"/>
          <w:sz w:val="22"/>
        </w:rPr>
        <w:t xml:space="preserve"> links to a published </w:t>
      </w:r>
      <w:r>
        <w:rPr>
          <w:rFonts w:ascii="Courier New" w:hAnsi="Courier New"/>
          <w:b w:val="0"/>
          <w:i w:val="0"/>
          <w:color w:val="000000"/>
          <w:sz w:val="20"/>
        </w:rPr>
        <w:t>ProductVariant</w:t>
      </w:r>
      <w:r>
        <w:rPr>
          <w:rFonts w:ascii="Arial" w:hAnsi="Arial"/>
          <w:b w:val="0"/>
          <w:i w:val="0"/>
          <w:color w:val="000000"/>
          <w:sz w:val="22"/>
        </w:rPr>
        <w:t>, but can exist without one for private/unmatched items.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This boundary prevents a vendor description change from silently changing stock identity, tax rules, price, or historical transactions.</w:t>
      </w:r>
    </w:p>
    <w:p>
      <w:pPr>
        <w:pStyle w:val="Heading2"/>
      </w:pPr>
      <w:r>
        <w:rPr>
          <w:rFonts w:ascii="Arial" w:hAnsi="Arial"/>
          <w:b w:val="0"/>
          <w:i w:val="0"/>
          <w:color w:val="000000"/>
          <w:sz w:val="32"/>
        </w:rPr>
        <w:t>4. Current implementation inventory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Borders>
          <w:top w:val="single" w:sz="2" w:space="0" w:color="DADCE0"/>
          <w:left w:val="single" w:sz="2" w:space="0" w:color="DADCE0"/>
          <w:bottom w:val="single" w:sz="2" w:space="0" w:color="DADCE0"/>
          <w:right w:val="single" w:sz="2" w:space="0" w:color="DADCE0"/>
          <w:insideH w:val="single" w:sz="2" w:space="0" w:color="DADCE0"/>
          <w:insideV w:val="single" w:sz="2" w:space="0" w:color="DADCE0"/>
        </w:tblBorders>
      </w:tblPr>
      <w:tblGrid>
        <w:gridCol w:w="2100"/>
        <w:gridCol w:w="3630"/>
        <w:gridCol w:w="363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Area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Present today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Maturity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Authentication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Register, login, 7-day JWT, profile lookup, logout placeholder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Prototype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Vendor account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Company name/email update, soft-delete endpoint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Prototype; UI/API routes disagree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Products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CRUD-like list/create/read/update/soft-delete, status, category, SKU, characteristics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Prototype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Media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Local Multer upload and four-image limit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Not production-safe or consistently rendered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Identifiers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One free-form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barcode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 and a generated QR data URL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Insufficient model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Categories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Shared top-level categories plus vendor categories and one-level child include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Prototype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Templates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Vendor-defined name/field/unit arrays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Basic proof of concept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Bulk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CSV import/export controllers and UI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Currently non-functional end-to-end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Tests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Jest/Supertest test files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Runner cannot start; assertions/mocks are stale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Operations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Helmet and in-memory rate limiting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No health/readiness, structured telemetry, shared limiter, or deployment config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/>
          <w:b w:val="0"/>
          <w:i w:val="0"/>
          <w:color w:val="000000"/>
          <w:sz w:val="32"/>
        </w:rPr>
        <w:t>5. Immediate implementation review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P0 — fix before adding features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Borders>
          <w:top w:val="single" w:sz="2" w:space="0" w:color="DADCE0"/>
          <w:left w:val="single" w:sz="2" w:space="0" w:color="DADCE0"/>
          <w:bottom w:val="single" w:sz="2" w:space="0" w:color="DADCE0"/>
          <w:right w:val="single" w:sz="2" w:space="0" w:color="DADCE0"/>
          <w:insideH w:val="single" w:sz="2" w:space="0" w:color="DADCE0"/>
          <w:insideV w:val="single" w:sz="2" w:space="0" w:color="DADCE0"/>
        </w:tblBorders>
      </w:tblPr>
      <w:tblGrid>
        <w:gridCol w:w="1500"/>
        <w:gridCol w:w="2550"/>
        <w:gridCol w:w="2550"/>
        <w:gridCol w:w="2760"/>
      </w:tblGrid>
      <w:tr>
        <w:trPr>
          <w:tblHeader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Finding</w:t>
            </w:r>
          </w:p>
        </w:tc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Evidence</w:t>
            </w:r>
          </w:p>
        </w:tc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Impact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Required correction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Production builds fail</w:t>
            </w:r>
          </w:p>
        </w:tc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API TypeScript errors at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packages/api/src/controllers/product.controller.ts:102,386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; portal type error at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apps/vendor-portal/src/app/dashboard/products/[id]/page.tsx:96</w:t>
            </w:r>
          </w:p>
        </w:tc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No releasable baseline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Restore green workspace build and make it a required CI check.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Production dependencies contain known vulnerabilities</w:t>
            </w:r>
          </w:p>
        </w:tc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npm audit --omit=dev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 reports critical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next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, high transitive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postcss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, and moderate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uuid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; portal pins Next 14.2.3</w:t>
            </w:r>
          </w:p>
        </w:tc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Known exposure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Upgrade to a currently supported patched Next release and supported dependency set; rerun audit and smoke tests. Upgrade Multer to 2.x as flagged during install.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Settings UI calls nonexistent routes</w:t>
            </w:r>
          </w:p>
        </w:tc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UI calls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PUT/DELETE /vendors/me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 in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apps/vendor-portal/src/lib/api.ts:116-118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; API exposes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PUT /vendors/profile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 and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DELETE /vendors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 in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packages/api/src/routes/vendor.routes.ts:8-9</w:t>
            </w:r>
          </w:p>
        </w:tc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Profile updates and account deletion fail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Choose resource-shaped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/vendors/me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 endpoints, update both sides, and contract-test them.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CSV import rejects CSV files</w:t>
            </w:r>
          </w:p>
        </w:tc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/products/import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 uses the JPEG/WebP-only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uploadImageMiddleware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; UI claims 5 MB while middleware caps every file at 2 MB</w:t>
            </w:r>
          </w:p>
        </w:tc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Import cannot work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Create a dedicated CSV upload/parser path with correct MIME/extension checks, size limit, streaming, cleanup, and job processing.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CSV export omits authentication</w:t>
            </w:r>
          </w:p>
        </w:tc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UI creates a plain anchor to a protected endpoint at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apps/vendor-portal/src/lib/api.ts:123</w:t>
            </w:r>
          </w:p>
        </w:tc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Export returns 401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Fetch with credentials and download a blob, or create a short-lived signed export job URL.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UI/API contracts disagree</w:t>
            </w:r>
          </w:p>
        </w:tc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UI expects image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{url,isPrimary}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 and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qrCode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; API returns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{imageUrl,sortOrder}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 and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qrCodeUrl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. UI sends title-case statuses while Prisma enum values are uppercase.</w:t>
            </w:r>
          </w:p>
        </w:tc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Broken images/QR display; status filter may cause 500s; wrong dashboard counts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Generate a typed client from OpenAPI or share validated response schemas; remove hand-written duplicate interfaces.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Cross-tenant category assignment is possible</w:t>
            </w:r>
          </w:p>
        </w:tc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Product create/update accepts any category FK. CSV import checks only that category exists at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product.controller.ts:327-334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. Category parents are also not ownership-scoped.</w:t>
            </w:r>
          </w:p>
        </w:tc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 vendor can reference another vendor's private taxonomy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Centralize category authorization: system category or same organization only. Enforce for create, update, parent selection, and import; add adversarial tests.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Browser tokens are exposed to JavaScript</w:t>
            </w:r>
          </w:p>
        </w:tc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JWT is stored in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localStorage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 at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apps/vendor-portal/src/lib/api.ts:17-30</w:t>
            </w:r>
          </w:p>
        </w:tc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One XSS can disclose a 7-day bearer token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Move to secure,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HttpOnly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SameSite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 cookies through a BFF/session endpoint; rotate sessions and support revocation.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Authentication has unsafe fallbacks and placeholders</w:t>
            </w:r>
          </w:p>
        </w:tc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API falls back to a source-code JWT secret; logout does not revoke; reset-password always reports success without changing a password; login lockout is process-local</w:t>
            </w:r>
          </w:p>
        </w:tc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Production misconfiguration can compromise every account; security UI can be misleading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Fail startup when secrets are absent, implement hashed/expiring one-time reset tokens, shared throttling, session revocation, email verification, and audit events.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Local upload paths are inconsistent and not served</w:t>
            </w:r>
          </w:p>
        </w:tc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Multer writes relative to process CWD; deletion resolves a different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packages/api/uploads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 path; Express has no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/uploads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 static route</w:t>
            </w:r>
          </w:p>
        </w:tc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Orphaned or inaccessible media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Replace local disk with an object-storage adapter and explicit asset records. Keep local storage only behind a development adapter.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Tests cannot run</w:t>
            </w:r>
          </w:p>
        </w:tc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Jest TypeScript config requires missing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ts-node</w:t>
            </w:r>
          </w:p>
        </w:tc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No regression signal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Add the required runner dependency or convert config to JS, then repair stale mocks/assertions.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P1 — correct during the foundation phase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Borders>
          <w:top w:val="single" w:sz="2" w:space="0" w:color="DADCE0"/>
          <w:left w:val="single" w:sz="2" w:space="0" w:color="DADCE0"/>
          <w:bottom w:val="single" w:sz="2" w:space="0" w:color="DADCE0"/>
          <w:right w:val="single" w:sz="2" w:space="0" w:color="DADCE0"/>
          <w:insideH w:val="single" w:sz="2" w:space="0" w:color="DADCE0"/>
          <w:insideV w:val="single" w:sz="2" w:space="0" w:color="DADCE0"/>
        </w:tblBorders>
      </w:tblPr>
      <w:tblGrid>
        <w:gridCol w:w="2100"/>
        <w:gridCol w:w="3630"/>
        <w:gridCol w:w="363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Finding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Consequence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Direction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Product.sku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 is globally unique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Two vendors cannot legitimately use the same private SKU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Make vendor SKU unique per organization; use a separate globally governed product identifier table.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barcode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 is unvalidated and not unique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Invalid and duplicate GTINs are accepted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Normalize identifier type/value, verify check digits and ownership, and define uniqueness by identifier namespace.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QR is a database data URL encoding a raw UUID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Large database rows, no useful scan destination, and internal ID disclosure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Encode a stable HTTPS resolver URL; generate SVG/PNG on demand or cache as an asset.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characteristics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 and template fields have no stable IDs or data types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Renames break meaning; no reliable validation, facets, numeric sorting, or localization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Version typed attribute definitions and store values keyed by immutable definition ID.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Templates are not attached to categories/products and are mutable/deletable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Products cannot prove which schema they satisfied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Add scope, inheritance, version, state, bindings, and immutable published versions.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Products have no family/variant/packaging distinction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Apparel sizes, multi-packs, cases, and GTIN-per-variant cannot be represented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Introduce product family, variant, and packaging level entities.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No revision or moderation model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Vendor edits instantly replace truth; consumers cannot pin or audit data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Add draft revisions, submissions, review decisions, publication, and supersession.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No useful indexes or deletion behavior in the Prisma schema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List/search degradation and orphan/retention ambiguity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Add composite indexes, explicit referential actions, uniqueness rules, and archival/anonymization policy.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Pagination is unbounded and filters are not validated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Accidental or malicious expensive queries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Validate query schemas, cap page size, and move high-volume endpoints to cursor pagination.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Synchronous CSV loops and QR/media work run in requests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Timeouts and poor partial-failure recovery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Persist import jobs and process rows asynchronously with idempotent workers.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Account deletion copy promises permanent deletion but only soft-deletes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Vendor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Misleading privacy behavior and retained active tokens/data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Implement a documented deactivate → retention → purge/anonymize workflow.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CORS is open and rate limiting is process-local/global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Weak browser boundary and inconsistent enforcement across replicas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Use an origin allowlist, proxy-aware client identity, and a shared rate-limit store.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P2 — maintainability and UX debt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 xml:space="preserve">Replace pervasive frontend </w:t>
      </w:r>
      <w:r>
        <w:rPr>
          <w:rFonts w:ascii="Courier New" w:hAnsi="Courier New"/>
          <w:b w:val="0"/>
          <w:i w:val="0"/>
          <w:color w:val="000000"/>
          <w:sz w:val="20"/>
        </w:rPr>
        <w:t>any</w:t>
      </w:r>
      <w:r>
        <w:rPr>
          <w:rFonts w:ascii="Arial" w:hAnsi="Arial"/>
          <w:b w:val="0"/>
          <w:i w:val="0"/>
          <w:color w:val="000000"/>
          <w:sz w:val="22"/>
        </w:rPr>
        <w:t xml:space="preserve"> types and page-local DTOs with generated/shared contracts.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Add accessible form errors, non-blocking toasts, retry states, unsaved-change protection, and responsive tables.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 xml:space="preserve">Use </w:t>
      </w:r>
      <w:r>
        <w:rPr>
          <w:rFonts w:ascii="Courier New" w:hAnsi="Courier New"/>
          <w:b w:val="0"/>
          <w:i w:val="0"/>
          <w:color w:val="000000"/>
          <w:sz w:val="20"/>
        </w:rPr>
        <w:t>next/image</w:t>
      </w:r>
      <w:r>
        <w:rPr>
          <w:rFonts w:ascii="Arial" w:hAnsi="Arial"/>
          <w:b w:val="0"/>
          <w:i w:val="0"/>
          <w:color w:val="000000"/>
          <w:sz w:val="22"/>
        </w:rPr>
        <w:t xml:space="preserve"> or the CDN image component instead of raw </w:t>
      </w:r>
      <w:r>
        <w:rPr>
          <w:rFonts w:ascii="Courier New" w:hAnsi="Courier New"/>
          <w:b w:val="0"/>
          <w:i w:val="0"/>
          <w:color w:val="000000"/>
          <w:sz w:val="20"/>
        </w:rPr>
        <w:t>&lt;img&gt;</w:t>
      </w:r>
      <w:r>
        <w:rPr>
          <w:rFonts w:ascii="Arial" w:hAnsi="Arial"/>
          <w:b w:val="0"/>
          <w:i w:val="0"/>
          <w:color w:val="000000"/>
          <w:sz w:val="22"/>
        </w:rPr>
        <w:t xml:space="preserve"> once delivery hosts are configured.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 xml:space="preserve">Fix category tree rendering: the API includes </w:t>
      </w:r>
      <w:r>
        <w:rPr>
          <w:rFonts w:ascii="Courier New" w:hAnsi="Courier New"/>
          <w:b w:val="0"/>
          <w:i w:val="0"/>
          <w:color w:val="000000"/>
          <w:sz w:val="20"/>
        </w:rPr>
        <w:t>children</w:t>
      </w:r>
      <w:r>
        <w:rPr>
          <w:rFonts w:ascii="Arial" w:hAnsi="Arial"/>
          <w:b w:val="0"/>
          <w:i w:val="0"/>
          <w:color w:val="000000"/>
          <w:sz w:val="22"/>
        </w:rPr>
        <w:t xml:space="preserve">, while the UI looks for </w:t>
      </w:r>
      <w:r>
        <w:rPr>
          <w:rFonts w:ascii="Courier New" w:hAnsi="Courier New"/>
          <w:b w:val="0"/>
          <w:i w:val="0"/>
          <w:color w:val="000000"/>
          <w:sz w:val="20"/>
        </w:rPr>
        <w:t>parent</w:t>
      </w:r>
      <w:r>
        <w:rPr>
          <w:rFonts w:ascii="Arial" w:hAnsi="Arial"/>
          <w:b w:val="0"/>
          <w:i w:val="0"/>
          <w:color w:val="000000"/>
          <w:sz w:val="22"/>
        </w:rPr>
        <w:t>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Add actual edit, archive/restore, image ordering/primary selection, and revision comparison flows.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 xml:space="preserve">Stop using </w:t>
      </w:r>
      <w:r>
        <w:rPr>
          <w:rFonts w:ascii="Courier New" w:hAnsi="Courier New"/>
          <w:b w:val="0"/>
          <w:i w:val="0"/>
          <w:color w:val="000000"/>
          <w:sz w:val="20"/>
        </w:rPr>
        <w:t>alert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0"/>
        </w:rPr>
        <w:t>prompt</w:t>
      </w:r>
      <w:r>
        <w:rPr>
          <w:rFonts w:ascii="Arial" w:hAnsi="Arial"/>
          <w:b w:val="0"/>
          <w:i w:val="0"/>
          <w:color w:val="000000"/>
          <w:sz w:val="22"/>
        </w:rPr>
        <w:t xml:space="preserve">, and </w:t>
      </w:r>
      <w:r>
        <w:rPr>
          <w:rFonts w:ascii="Courier New" w:hAnsi="Courier New"/>
          <w:b w:val="0"/>
          <w:i w:val="0"/>
          <w:color w:val="000000"/>
          <w:sz w:val="20"/>
        </w:rPr>
        <w:t>confirm</w:t>
      </w:r>
      <w:r>
        <w:rPr>
          <w:rFonts w:ascii="Arial" w:hAnsi="Arial"/>
          <w:b w:val="0"/>
          <w:i w:val="0"/>
          <w:color w:val="000000"/>
          <w:sz w:val="22"/>
        </w:rPr>
        <w:t xml:space="preserve"> for operational workflows.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Add README setup, environment templates, seed idempotency, API docs, and architecture decision records.</w:t>
      </w:r>
    </w:p>
    <w:p>
      <w:pPr>
        <w:pStyle w:val="Heading2"/>
      </w:pPr>
      <w:r>
        <w:rPr>
          <w:rFonts w:ascii="Arial" w:hAnsi="Arial"/>
          <w:b w:val="0"/>
          <w:i w:val="0"/>
          <w:color w:val="000000"/>
          <w:sz w:val="32"/>
        </w:rPr>
        <w:t>6. Target architecture</w:t>
      </w:r>
    </w:p>
    <w:p>
      <w:pPr>
        <w:spacing w:before="60" w:after="160" w:line="240" w:lineRule="auto"/>
        <w:ind w:left="288" w:right="288"/>
      </w:pPr>
      <w:r>
        <w:rPr>
          <w:rFonts w:ascii="Courier New" w:hAnsi="Courier New"/>
          <w:b w:val="0"/>
          <w:i w:val="0"/>
          <w:color w:val="434343"/>
          <w:sz w:val="17"/>
        </w:rPr>
        <w:t>flowchart LR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VP[Vendor Portal\nNext.js] --&gt; BFF[Session/BFF boundary]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BFF --&gt; API[Modular Express API]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API --&gt; PG[(PostgreSQL\nCatalog + tenant data)]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API --&gt; R[(Redis-compatible store\nqueue + rate limit + cache)]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API --&gt; R2[(R2 private originals)]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R2 --&gt; Q[Upload event / job queue]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Q --&gt; W[Workers\nscan, metadata, transform, import]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R2 --&gt; CDN[Cloudflare custom domain\ncache + image transforms]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API --&gt; E[Outbox events]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E --&gt; INV[Retail inventory module]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E --&gt; WH[Signed vendor webhooks]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API --&gt; OBS[OpenTelemetry\nlogs, traces, metrics]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Architecture decisions</w:t>
      </w:r>
    </w:p>
    <w:p>
      <w:pPr>
        <w:pStyle w:val="ListNumber"/>
        <w:spacing w:after="80" w:line="276" w:lineRule="auto"/>
        <w:ind w:left="720" w:hanging="360"/>
      </w:pPr>
      <w:r>
        <w:rPr>
          <w:rFonts w:ascii="Arial" w:hAnsi="Arial"/>
          <w:b/>
          <w:i w:val="0"/>
          <w:color w:val="000000"/>
          <w:sz w:val="22"/>
        </w:rPr>
        <w:t>Stay a modular monolith initially.</w:t>
      </w:r>
      <w:r>
        <w:rPr>
          <w:rFonts w:ascii="Arial" w:hAnsi="Arial"/>
          <w:b w:val="0"/>
          <w:i w:val="0"/>
          <w:color w:val="000000"/>
          <w:sz w:val="22"/>
        </w:rPr>
        <w:t xml:space="preserve"> Identity, organization, catalog, templates, media, import, review, and integrations live in one deployable API with module boundaries and an outbox. This keeps transactions and operations simple.</w:t>
      </w:r>
    </w:p>
    <w:p>
      <w:pPr>
        <w:pStyle w:val="ListNumber"/>
        <w:spacing w:after="80" w:line="276" w:lineRule="auto"/>
        <w:ind w:left="720" w:hanging="360"/>
      </w:pPr>
      <w:r>
        <w:rPr>
          <w:rFonts w:ascii="Arial" w:hAnsi="Arial"/>
          <w:b/>
          <w:i w:val="0"/>
          <w:color w:val="000000"/>
          <w:sz w:val="22"/>
        </w:rPr>
        <w:t>PostgreSQL remains the source of truth.</w:t>
      </w:r>
      <w:r>
        <w:rPr>
          <w:rFonts w:ascii="Arial" w:hAnsi="Arial"/>
          <w:b w:val="0"/>
          <w:i w:val="0"/>
          <w:color w:val="000000"/>
          <w:sz w:val="22"/>
        </w:rPr>
        <w:t xml:space="preserve"> Use relational columns for identity, ownership, state, and commonly queried values; use JSONB for versioned schema documents and value snapshots.</w:t>
      </w:r>
    </w:p>
    <w:p>
      <w:pPr>
        <w:pStyle w:val="ListNumber"/>
        <w:spacing w:after="80" w:line="276" w:lineRule="auto"/>
        <w:ind w:left="720" w:hanging="360"/>
      </w:pPr>
      <w:r>
        <w:rPr>
          <w:rFonts w:ascii="Arial" w:hAnsi="Arial"/>
          <w:b/>
          <w:i w:val="0"/>
          <w:color w:val="000000"/>
          <w:sz w:val="22"/>
        </w:rPr>
        <w:t>Use an outbox, not dual writes.</w:t>
      </w:r>
      <w:r>
        <w:rPr>
          <w:rFonts w:ascii="Arial" w:hAnsi="Arial"/>
          <w:b w:val="0"/>
          <w:i w:val="0"/>
          <w:color w:val="000000"/>
          <w:sz w:val="22"/>
        </w:rPr>
        <w:t xml:space="preserve"> Publication writes the product revision and an </w:t>
      </w:r>
      <w:r>
        <w:rPr>
          <w:rFonts w:ascii="Courier New" w:hAnsi="Courier New"/>
          <w:b w:val="0"/>
          <w:i w:val="0"/>
          <w:color w:val="000000"/>
          <w:sz w:val="20"/>
        </w:rPr>
        <w:t>OutboxEvent</w:t>
      </w:r>
      <w:r>
        <w:rPr>
          <w:rFonts w:ascii="Arial" w:hAnsi="Arial"/>
          <w:b w:val="0"/>
          <w:i w:val="0"/>
          <w:color w:val="000000"/>
          <w:sz w:val="22"/>
        </w:rPr>
        <w:t xml:space="preserve"> in one transaction. A worker delivers inventory sync events and webhooks with retries and idempotency.</w:t>
      </w:r>
    </w:p>
    <w:p>
      <w:pPr>
        <w:pStyle w:val="ListNumber"/>
        <w:spacing w:after="80" w:line="276" w:lineRule="auto"/>
        <w:ind w:left="720" w:hanging="360"/>
      </w:pPr>
      <w:r>
        <w:rPr>
          <w:rFonts w:ascii="Arial" w:hAnsi="Arial"/>
          <w:b/>
          <w:i w:val="0"/>
          <w:color w:val="000000"/>
          <w:sz w:val="22"/>
        </w:rPr>
        <w:t>Use object storage keys, not URLs, as identity.</w:t>
      </w:r>
      <w:r>
        <w:rPr>
          <w:rFonts w:ascii="Arial" w:hAnsi="Arial"/>
          <w:b w:val="0"/>
          <w:i w:val="0"/>
          <w:color w:val="000000"/>
          <w:sz w:val="22"/>
        </w:rPr>
        <w:t xml:space="preserve"> Store </w:t>
      </w:r>
      <w:r>
        <w:rPr>
          <w:rFonts w:ascii="Courier New" w:hAnsi="Courier New"/>
          <w:b w:val="0"/>
          <w:i w:val="0"/>
          <w:color w:val="000000"/>
          <w:sz w:val="20"/>
        </w:rPr>
        <w:t>bucket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0"/>
        </w:rPr>
        <w:t>objectKey</w:t>
      </w:r>
      <w:r>
        <w:rPr>
          <w:rFonts w:ascii="Arial" w:hAnsi="Arial"/>
          <w:b w:val="0"/>
          <w:i w:val="0"/>
          <w:color w:val="000000"/>
          <w:sz w:val="22"/>
        </w:rPr>
        <w:t>, checksum, MIME, dimensions, and state. Construct delivery URLs at the edge so domains and providers can change.</w:t>
      </w:r>
    </w:p>
    <w:p>
      <w:pPr>
        <w:pStyle w:val="ListNumber"/>
        <w:spacing w:after="80" w:line="276" w:lineRule="auto"/>
        <w:ind w:left="720" w:hanging="360"/>
      </w:pPr>
      <w:r>
        <w:rPr>
          <w:rFonts w:ascii="Arial" w:hAnsi="Arial"/>
          <w:b/>
          <w:i w:val="0"/>
          <w:color w:val="000000"/>
          <w:sz w:val="22"/>
        </w:rPr>
        <w:t>Search starts in PostgreSQL.</w:t>
      </w:r>
      <w:r>
        <w:rPr>
          <w:rFonts w:ascii="Arial" w:hAnsi="Arial"/>
          <w:b w:val="0"/>
          <w:i w:val="0"/>
          <w:color w:val="000000"/>
          <w:sz w:val="22"/>
        </w:rPr>
        <w:t xml:space="preserve"> Add normalized search text, </w:t>
      </w:r>
      <w:r>
        <w:rPr>
          <w:rFonts w:ascii="Courier New" w:hAnsi="Courier New"/>
          <w:b w:val="0"/>
          <w:i w:val="0"/>
          <w:color w:val="000000"/>
          <w:sz w:val="20"/>
        </w:rPr>
        <w:t>pg_trgm</w:t>
      </w:r>
      <w:r>
        <w:rPr>
          <w:rFonts w:ascii="Arial" w:hAnsi="Arial"/>
          <w:b w:val="0"/>
          <w:i w:val="0"/>
          <w:color w:val="000000"/>
          <w:sz w:val="22"/>
        </w:rPr>
        <w:t>, full-text vectors, exact identifier indexes, and JSONB indexes for proven filters. Mirror published revisions to OpenSearch later only if benchmarks require it.</w:t>
      </w:r>
    </w:p>
    <w:p>
      <w:pPr>
        <w:pStyle w:val="ListNumber"/>
        <w:spacing w:after="80" w:line="276" w:lineRule="auto"/>
        <w:ind w:left="720" w:hanging="360"/>
      </w:pPr>
      <w:r>
        <w:rPr>
          <w:rFonts w:ascii="Arial" w:hAnsi="Arial"/>
          <w:b/>
          <w:i w:val="0"/>
          <w:color w:val="000000"/>
          <w:sz w:val="22"/>
        </w:rPr>
        <w:t>All externally consumed schemas are explicit.</w:t>
      </w:r>
      <w:r>
        <w:rPr>
          <w:rFonts w:ascii="Arial" w:hAnsi="Arial"/>
          <w:b w:val="0"/>
          <w:i w:val="0"/>
          <w:color w:val="000000"/>
          <w:sz w:val="22"/>
        </w:rPr>
        <w:t xml:space="preserve"> OpenAPI generates the TypeScript client and documents API/webhook contracts. Database types are not response contracts.</w:t>
      </w:r>
    </w:p>
    <w:p>
      <w:pPr>
        <w:pStyle w:val="Heading2"/>
      </w:pPr>
      <w:r>
        <w:rPr>
          <w:rFonts w:ascii="Arial" w:hAnsi="Arial"/>
          <w:b w:val="0"/>
          <w:i w:val="0"/>
          <w:color w:val="000000"/>
          <w:sz w:val="32"/>
        </w:rPr>
        <w:t>7. Recommended domain model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Organization and access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Borders>
          <w:top w:val="single" w:sz="2" w:space="0" w:color="DADCE0"/>
          <w:left w:val="single" w:sz="2" w:space="0" w:color="DADCE0"/>
          <w:bottom w:val="single" w:sz="2" w:space="0" w:color="DADCE0"/>
          <w:right w:val="single" w:sz="2" w:space="0" w:color="DADCE0"/>
          <w:insideH w:val="single" w:sz="2" w:space="0" w:color="DADCE0"/>
          <w:insideV w:val="single" w:sz="2" w:space="0" w:color="DADCE0"/>
        </w:tblBorders>
      </w:tblPr>
      <w:tblGrid>
        <w:gridCol w:w="2100"/>
        <w:gridCol w:w="3630"/>
        <w:gridCol w:w="363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Entity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Purpose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Important fields/rules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Organization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Tenant boundary for vendor, producer, distributor, or retailer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, legal/display name, type, status, locale, timezone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User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Human identity, independent of a company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normalized email, verification, identity-provider subject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Membership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User ↔ organization access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role, status, invitedBy, lastActiveAt; unique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(userId, organizationId)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Role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 / permission policy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Owner, admin, catalog manager, editor, reviewer, API operator, viewer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Permission checks live in services, not UI labels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VendorProfile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Vendor-specific legal and operational data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tax/company IDs, addresses, support contact, verification status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Brand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 /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BrandClaim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Controls who can publish for a brand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evidence, territory, status, reviewer, expiry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AuditEvent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Append-only accountability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actor, tenant, action, target, request ID, before/after summary, timestamp</w:t>
            </w:r>
          </w:p>
        </w:tc>
      </w:tr>
    </w:tbl>
    <w:p>
      <w:pPr>
        <w:spacing w:after="40"/>
      </w:pP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 xml:space="preserve">Do not treat </w:t>
      </w:r>
      <w:r>
        <w:rPr>
          <w:rFonts w:ascii="Arial" w:hAnsi="Arial"/>
          <w:b w:val="0"/>
          <w:i w:val="0"/>
          <w:color w:val="000000"/>
          <w:sz w:val="22"/>
        </w:rPr>
        <w:t>Vendor</w:t>
      </w:r>
      <w:r>
        <w:rPr>
          <w:rFonts w:ascii="Arial" w:hAnsi="Arial"/>
          <w:b w:val="0"/>
          <w:i w:val="0"/>
          <w:color w:val="000000"/>
          <w:sz w:val="22"/>
        </w:rPr>
        <w:t xml:space="preserve"> as both a person and a company. Migrating to </w:t>
      </w:r>
      <w:r>
        <w:rPr>
          <w:rFonts w:ascii="Arial" w:hAnsi="Arial"/>
          <w:b w:val="0"/>
          <w:i w:val="0"/>
          <w:color w:val="000000"/>
          <w:sz w:val="22"/>
        </w:rPr>
        <w:t>User + Organization + Membership</w:t>
      </w:r>
      <w:r>
        <w:rPr>
          <w:rFonts w:ascii="Arial" w:hAnsi="Arial"/>
          <w:b w:val="0"/>
          <w:i w:val="0"/>
          <w:color w:val="000000"/>
          <w:sz w:val="22"/>
        </w:rPr>
        <w:t xml:space="preserve"> unlocks teams, invitations, role-based review, SSO, and users who belong to several organizations.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Catalog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Borders>
          <w:top w:val="single" w:sz="2" w:space="0" w:color="DADCE0"/>
          <w:left w:val="single" w:sz="2" w:space="0" w:color="DADCE0"/>
          <w:bottom w:val="single" w:sz="2" w:space="0" w:color="DADCE0"/>
          <w:right w:val="single" w:sz="2" w:space="0" w:color="DADCE0"/>
          <w:insideH w:val="single" w:sz="2" w:space="0" w:color="DADCE0"/>
          <w:insideV w:val="single" w:sz="2" w:space="0" w:color="DADCE0"/>
        </w:tblBorders>
      </w:tblPr>
      <w:tblGrid>
        <w:gridCol w:w="2100"/>
        <w:gridCol w:w="3630"/>
        <w:gridCol w:w="363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Entity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Purpose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Important fields/rules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CatalogProduct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Canonical product family/style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stable platform ID, brand, global category, merge/supersession state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ProductVariant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Sellable variation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color/size/flavor/capacity dimensions, canonical status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PackageLevel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Each, inner, case, pallet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quantity of child, dimensions, weight, identifier; forms an acyclic tree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ProductIdentifier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GTIN-8/12/13/14, MPN, ISBN, internal/vendor SKU, platform ID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type, normalized value, organization/issuer, verification, package/variant; scoped unique indexes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VendorCatalogEntry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 vendor's relationship to a canonical product/variant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vendor SKU, MPN, lead time, minimum order quantity, market availability; no stock quantity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ProductRevision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Immutable proposed or published content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revision number, schema versions, content snapshot, author, status, validation report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Submission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 /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ReviewDecision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Moderation workflow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submitter, reviewer, decision, reason codes, SLA timestamps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ProductRelationship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Replacement, accessory, component, bundle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typed directed edge with cycle/cardinality validation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ExternalReference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Source/import/provider traceability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source system, external ID, import job, source fingerprint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Taxonomy and attributes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Borders>
          <w:top w:val="single" w:sz="2" w:space="0" w:color="DADCE0"/>
          <w:left w:val="single" w:sz="2" w:space="0" w:color="DADCE0"/>
          <w:bottom w:val="single" w:sz="2" w:space="0" w:color="DADCE0"/>
          <w:right w:val="single" w:sz="2" w:space="0" w:color="DADCE0"/>
          <w:insideH w:val="single" w:sz="2" w:space="0" w:color="DADCE0"/>
          <w:insideV w:val="single" w:sz="2" w:space="0" w:color="DADCE0"/>
        </w:tblBorders>
      </w:tblPr>
      <w:tblGrid>
        <w:gridCol w:w="2100"/>
        <w:gridCol w:w="3630"/>
        <w:gridCol w:w="363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Entity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Purpose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Important fields/rules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Category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Versioned global taxonomy node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immutable code, localized labels, parent, path, state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VendorCategory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Vendor's private organization taxonomy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organization-scoped, mapped optionally to global category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AttributeDefinition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Stable semantic property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immutable key, data type, unit dimension, allowed units/options, localization, validation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AttributeSet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Reusable group of definitions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system/vendor owner, target family/variant/package, inheritance policy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Template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 /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TemplateVersion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Form and validation schema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draft/published/retired version, bindings, sections, conditional rules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CategoryTemplateBinding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Default/required schema for a category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category/version, market, effective dates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AttributeValueSnapshot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Values used by one product revision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JSONB keyed by definition ID; validated against exact template versions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Media and operations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Borders>
          <w:top w:val="single" w:sz="2" w:space="0" w:color="DADCE0"/>
          <w:left w:val="single" w:sz="2" w:space="0" w:color="DADCE0"/>
          <w:bottom w:val="single" w:sz="2" w:space="0" w:color="DADCE0"/>
          <w:right w:val="single" w:sz="2" w:space="0" w:color="DADCE0"/>
          <w:insideH w:val="single" w:sz="2" w:space="0" w:color="DADCE0"/>
          <w:insideV w:val="single" w:sz="2" w:space="0" w:color="DADCE0"/>
        </w:tblBorders>
      </w:tblPr>
      <w:tblGrid>
        <w:gridCol w:w="2100"/>
        <w:gridCol w:w="3630"/>
        <w:gridCol w:w="363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Entity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Purpose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Important fields/rules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MediaAsset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Provider-neutral source asset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object key, checksum, MIME detected server-side, size, dimensions, state, owner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ProductMedia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Asset placement on a revision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role (primary/gallery/label/manual), locale, sort order, alt text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ImportJob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 /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ImportRow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Durable ingestion and row-level result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state, source asset, counts, error code/message, idempotency key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ExportJob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Snapshot export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filters, revision cutoff, asset key, expiry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ApiCredential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Organization API access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hashed secret, scopes, last used, expiry, rotation/revocation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WebhookEndpoint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 /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WebhookDelivery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Outbound integration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encrypted URL/secret, event filters, attempts, response, next retry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OutboxEvent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Reliable internal publication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aggregate/version, event type, payload, delivery state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Inventory integration boundary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RetailerCatalogItem</w:t>
      </w:r>
      <w:r>
        <w:rPr>
          <w:rFonts w:ascii="Arial" w:hAnsi="Arial"/>
          <w:b w:val="0"/>
          <w:i w:val="0"/>
          <w:color w:val="000000"/>
          <w:sz w:val="22"/>
        </w:rPr>
        <w:t xml:space="preserve"> should contain </w:t>
      </w:r>
      <w:r>
        <w:rPr>
          <w:rFonts w:ascii="Arial" w:hAnsi="Arial"/>
          <w:b w:val="0"/>
          <w:i w:val="0"/>
          <w:color w:val="000000"/>
          <w:sz w:val="22"/>
        </w:rPr>
        <w:t>retailerOrganizationId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Arial" w:hAnsi="Arial"/>
          <w:b w:val="0"/>
          <w:i w:val="0"/>
          <w:color w:val="000000"/>
          <w:sz w:val="22"/>
        </w:rPr>
        <w:t>retailerSku</w:t>
      </w:r>
      <w:r>
        <w:rPr>
          <w:rFonts w:ascii="Arial" w:hAnsi="Arial"/>
          <w:b w:val="0"/>
          <w:i w:val="0"/>
          <w:color w:val="000000"/>
          <w:sz w:val="22"/>
        </w:rPr>
        <w:t xml:space="preserve">, optional </w:t>
      </w:r>
      <w:r>
        <w:rPr>
          <w:rFonts w:ascii="Arial" w:hAnsi="Arial"/>
          <w:b w:val="0"/>
          <w:i w:val="0"/>
          <w:color w:val="000000"/>
          <w:sz w:val="22"/>
        </w:rPr>
        <w:t>productVariantId</w:t>
      </w:r>
      <w:r>
        <w:rPr>
          <w:rFonts w:ascii="Arial" w:hAnsi="Arial"/>
          <w:b w:val="0"/>
          <w:i w:val="0"/>
          <w:color w:val="000000"/>
          <w:sz w:val="22"/>
        </w:rPr>
        <w:t xml:space="preserve">, selected published revision, tax/merchandising overrides, and supplier links. </w:t>
      </w:r>
      <w:r>
        <w:rPr>
          <w:rFonts w:ascii="Arial" w:hAnsi="Arial"/>
          <w:b w:val="0"/>
          <w:i w:val="0"/>
          <w:color w:val="000000"/>
          <w:sz w:val="22"/>
        </w:rPr>
        <w:t>InventoryBalance</w:t>
      </w:r>
      <w:r>
        <w:rPr>
          <w:rFonts w:ascii="Arial" w:hAnsi="Arial"/>
          <w:b w:val="0"/>
          <w:i w:val="0"/>
          <w:color w:val="000000"/>
          <w:sz w:val="22"/>
        </w:rPr>
        <w:t xml:space="preserve"> and the immutable </w:t>
      </w:r>
      <w:r>
        <w:rPr>
          <w:rFonts w:ascii="Arial" w:hAnsi="Arial"/>
          <w:b w:val="0"/>
          <w:i w:val="0"/>
          <w:color w:val="000000"/>
          <w:sz w:val="22"/>
        </w:rPr>
        <w:t>StockLedgerEntry</w:t>
      </w:r>
      <w:r>
        <w:rPr>
          <w:rFonts w:ascii="Arial" w:hAnsi="Arial"/>
          <w:b w:val="0"/>
          <w:i w:val="0"/>
          <w:color w:val="000000"/>
          <w:sz w:val="22"/>
        </w:rPr>
        <w:t xml:space="preserve"> reference the retailer item and location—not the vendor entry. This lets stores stock private products, switch suppliers, or pin product content without losing inventory history.</w:t>
      </w:r>
    </w:p>
    <w:p>
      <w:pPr>
        <w:pStyle w:val="Heading2"/>
      </w:pPr>
      <w:r>
        <w:rPr>
          <w:rFonts w:ascii="Arial" w:hAnsi="Arial"/>
          <w:b w:val="0"/>
          <w:i w:val="0"/>
          <w:color w:val="000000"/>
          <w:sz w:val="32"/>
        </w:rPr>
        <w:t>8. Template system design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 xml:space="preserve">The current </w:t>
      </w:r>
      <w:r>
        <w:rPr>
          <w:rFonts w:ascii="Arial" w:hAnsi="Arial"/>
          <w:b w:val="0"/>
          <w:i w:val="0"/>
          <w:color w:val="000000"/>
          <w:sz w:val="22"/>
        </w:rPr>
        <w:t>{name, measurement}</w:t>
      </w:r>
      <w:r>
        <w:rPr>
          <w:rFonts w:ascii="Arial" w:hAnsi="Arial"/>
          <w:b w:val="0"/>
          <w:i w:val="0"/>
          <w:color w:val="000000"/>
          <w:sz w:val="22"/>
        </w:rPr>
        <w:t xml:space="preserve"> array is a good UI sketch but not a durable schema. A production template field needs: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 xml:space="preserve">Immutable </w:t>
      </w:r>
      <w:r>
        <w:rPr>
          <w:rFonts w:ascii="Courier New" w:hAnsi="Courier New"/>
          <w:b w:val="0"/>
          <w:i w:val="0"/>
          <w:color w:val="000000"/>
          <w:sz w:val="20"/>
        </w:rPr>
        <w:t>attributeDefinitionId</w:t>
      </w:r>
      <w:r>
        <w:rPr>
          <w:rFonts w:ascii="Arial" w:hAnsi="Arial"/>
          <w:b w:val="0"/>
          <w:i w:val="0"/>
          <w:color w:val="000000"/>
          <w:sz w:val="22"/>
        </w:rPr>
        <w:t xml:space="preserve"> and machine key.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Target level: product family, sellable variant, or packaging level.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Data type: text, localized text, integer, decimal, boolean, date, URL, enum, multi-enum, dimension, weight, rich text, or reference.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Required/optional, repeatability, default, example, help text, and display section/order.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String length/pattern, numeric min/max/precision, enum options, and reference constraints.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Unit dimension and allowed UCUM-compatible units; store normalized base value plus display unit.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 xml:space="preserve">Conditional rules, such as requiring battery chemistry only when </w:t>
      </w:r>
      <w:r>
        <w:rPr>
          <w:rFonts w:ascii="Courier New" w:hAnsi="Courier New"/>
          <w:b w:val="0"/>
          <w:i w:val="0"/>
          <w:color w:val="000000"/>
          <w:sz w:val="20"/>
        </w:rPr>
        <w:t>contains_battery = true</w:t>
      </w:r>
      <w:r>
        <w:rPr>
          <w:rFonts w:ascii="Arial" w:hAnsi="Arial"/>
          <w:b w:val="0"/>
          <w:i w:val="0"/>
          <w:color w:val="000000"/>
          <w:sz w:val="22"/>
        </w:rPr>
        <w:t>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Search/facet/export flags and sensitivity classification.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Localized label/help/option text.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Example conceptual schema:</w:t>
      </w:r>
    </w:p>
    <w:p>
      <w:pPr>
        <w:spacing w:before="60" w:after="160" w:line="240" w:lineRule="auto"/>
        <w:ind w:left="288" w:right="288"/>
      </w:pPr>
      <w:r>
        <w:rPr>
          <w:rFonts w:ascii="Courier New" w:hAnsi="Courier New"/>
          <w:b w:val="0"/>
          <w:i w:val="0"/>
          <w:color w:val="434343"/>
          <w:sz w:val="17"/>
        </w:rPr>
        <w:t>{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"templateKey": "system.laptop",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"version": 3,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"target": "VARIANT",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"extends": ["system.electronics@2"],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"sections": [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{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  "key": "memory",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  "fields": [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    {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      "attributeDefinitionId": "attr_ram_capacity",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      "type": "MEASUREMENT",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      "required": true,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      "unitDimension": "digital_information",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      "allowedUnits": ["GB", "TB"],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      "min": 1,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      "facet": true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    }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  ]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}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]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>}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Template rules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Platform templates can be extended but not edited by vendors.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Vendor templates live in their namespace and may be private or submitted for platform promotion.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Published template versions are immutable. Editing creates a new draft version.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A product revision records the exact template versions used and retains its value snapshot.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A migration assistant compares versions, carries compatible values, and flags new/invalid fields.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Inheritance must be acyclic, capped in depth, and resolve deterministically.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Product publication validates server-side; the form renderer is convenience, never the authority.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Initially store definitions relationally and revision values in JSONB. Add a projection table only for high-cardinality facets shown by query measurements.</w:t>
      </w:r>
    </w:p>
    <w:p>
      <w:pPr>
        <w:pStyle w:val="Heading2"/>
      </w:pPr>
      <w:r>
        <w:rPr>
          <w:rFonts w:ascii="Arial" w:hAnsi="Arial"/>
          <w:b w:val="0"/>
          <w:i w:val="0"/>
          <w:color w:val="000000"/>
          <w:sz w:val="32"/>
        </w:rPr>
        <w:t>9. Product identity, barcode, and QR plan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Identifier policy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Treat GTIN-8, GTIN-12/UPC-A, GTIN-13/EAN-13, and GTIN-14 as variants of a normalized GTIN-14 for comparison while retaining original representation.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Validate length, digits, check digit, identifier type, and packaging assignment.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A real GS1 GTIN must be supplied/claimed by the brand owner or authorized organization. The application can validate and render it, but must not invent a globally valid GS1 identity from an unlicensed prefix.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Use Code 128 or a clearly labeled platform/internal code when a shop needs an internal barcode.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Each sellable variant and packaging level may need its own GTIN. Do not put one barcode on the family record.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 xml:space="preserve">Add claim states: </w:t>
      </w:r>
      <w:r>
        <w:rPr>
          <w:rFonts w:ascii="Courier New" w:hAnsi="Courier New"/>
          <w:b w:val="0"/>
          <w:i w:val="0"/>
          <w:color w:val="000000"/>
          <w:sz w:val="20"/>
        </w:rPr>
        <w:t>UNVERIFIED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0"/>
        </w:rPr>
        <w:t>FORMAT_VALID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0"/>
        </w:rPr>
        <w:t>OWNERSHIP_VERIFIED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0"/>
        </w:rPr>
        <w:t>CONFLICT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0"/>
        </w:rPr>
        <w:t>REVOKED</w:t>
      </w:r>
      <w:r>
        <w:rPr>
          <w:rFonts w:ascii="Arial" w:hAnsi="Arial"/>
          <w:b w:val="0"/>
          <w:i w:val="0"/>
          <w:color w:val="000000"/>
          <w:sz w:val="22"/>
        </w:rPr>
        <w:t>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Conflicts open a review case; never silently merge records solely because names or barcodes are similar.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Generated assets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Render linear codes and QR codes as SVG for print, plus PNG/PDF label outputs at controlled sizes.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Store the underlying identifier/resolver URL as truth; generated files are reproducible cache artifacts.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Provide templates for common label sheets and thermal printers later, with quiet zones and human-readable text.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Add automated scan tests against generated examples and a print QA guide.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QR and Digital Link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 xml:space="preserve">Use a stable HTTPS URL such as </w:t>
      </w:r>
      <w:r>
        <w:rPr>
          <w:rFonts w:ascii="Arial" w:hAnsi="Arial"/>
          <w:b w:val="0"/>
          <w:i w:val="0"/>
          <w:color w:val="000000"/>
          <w:sz w:val="22"/>
        </w:rPr>
        <w:t>https://id.example.com/01/{gtin14}</w:t>
      </w:r>
      <w:r>
        <w:rPr>
          <w:rFonts w:ascii="Arial" w:hAnsi="Arial"/>
          <w:b w:val="0"/>
          <w:i w:val="0"/>
          <w:color w:val="000000"/>
          <w:sz w:val="22"/>
        </w:rPr>
        <w:t xml:space="preserve"> for GS1 Digital Link-capable records, or </w:t>
      </w:r>
      <w:r>
        <w:rPr>
          <w:rFonts w:ascii="Arial" w:hAnsi="Arial"/>
          <w:b w:val="0"/>
          <w:i w:val="0"/>
          <w:color w:val="000000"/>
          <w:sz w:val="22"/>
        </w:rPr>
        <w:t>https://id.example.com/p/{publicProductId}</w:t>
      </w:r>
      <w:r>
        <w:rPr>
          <w:rFonts w:ascii="Arial" w:hAnsi="Arial"/>
          <w:b w:val="0"/>
          <w:i w:val="0"/>
          <w:color w:val="000000"/>
          <w:sz w:val="22"/>
        </w:rPr>
        <w:t xml:space="preserve"> for internal products. The resolver can return a consumer page by default and later route to JSON, instructions, safety information, recalls, or partner APIs. Never encode a raw database UUID as the whole QR payload.</w:t>
      </w:r>
    </w:p>
    <w:p>
      <w:pPr>
        <w:pStyle w:val="Heading2"/>
      </w:pPr>
      <w:r>
        <w:rPr>
          <w:rFonts w:ascii="Arial" w:hAnsi="Arial"/>
          <w:b w:val="0"/>
          <w:i w:val="0"/>
          <w:color w:val="000000"/>
          <w:sz w:val="32"/>
        </w:rPr>
        <w:t>10. Product lifecycle</w:t>
      </w:r>
    </w:p>
    <w:p>
      <w:pPr>
        <w:spacing w:before="60" w:after="160" w:line="240" w:lineRule="auto"/>
        <w:ind w:left="288" w:right="288"/>
      </w:pPr>
      <w:r>
        <w:rPr>
          <w:rFonts w:ascii="Courier New" w:hAnsi="Courier New"/>
          <w:b w:val="0"/>
          <w:i w:val="0"/>
          <w:color w:val="434343"/>
          <w:sz w:val="17"/>
        </w:rPr>
        <w:t>stateDiagram-v2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[*] --&gt; Draft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Draft --&gt; Validating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Validating --&gt; Draft: validation errors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Validating --&gt; Submitted: complete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Submitted --&gt; ChangesRequested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ChangesRequested --&gt; Draft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Submitted --&gt; Approved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Approved --&gt; Published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Published --&gt; RevisionDraft: propose change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RevisionDraft --&gt; Submitted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Published --&gt; Suspended: safety/compliance issue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Suspended --&gt; Published: resolved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Published --&gt; Discontinued</w:t>
      </w:r>
      <w:r>
        <w:br/>
      </w:r>
      <w:r>
        <w:rPr>
          <w:rFonts w:ascii="Courier New" w:hAnsi="Courier New"/>
          <w:b w:val="0"/>
          <w:i w:val="0"/>
          <w:color w:val="434343"/>
          <w:sz w:val="17"/>
        </w:rPr>
        <w:t xml:space="preserve">    Discontinued --&gt; [*]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Saving a draft tolerates incompleteness; submission does not.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Validation returns structured field paths, severity, code, and suggested fix.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Published content is immutable. Changes create a new revision, preserving consumer and inventory history.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Low-risk changes may auto-publish for verified vendors; identifiers, brand, variant structure, regulated fields, and merge decisions require review.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Retailers can follow latest approved revisions or pin a revision per catalog policy.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Merge creates aliases/redirects and a durable mapping; it does not rewrite historical ledger references.</w:t>
      </w:r>
    </w:p>
    <w:p>
      <w:pPr>
        <w:pStyle w:val="Heading2"/>
      </w:pPr>
      <w:r>
        <w:rPr>
          <w:rFonts w:ascii="Arial" w:hAnsi="Arial"/>
          <w:b w:val="0"/>
          <w:i w:val="0"/>
          <w:color w:val="000000"/>
          <w:sz w:val="32"/>
        </w:rPr>
        <w:t>11. Feature plan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A. Identity, onboarding, and organization administration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Vendor experience:</w:t>
      </w:r>
      <w:r>
        <w:rPr>
          <w:rFonts w:ascii="Arial" w:hAnsi="Arial"/>
          <w:b w:val="0"/>
          <w:i w:val="0"/>
          <w:color w:val="000000"/>
          <w:sz w:val="22"/>
        </w:rPr>
        <w:t xml:space="preserve"> apply, verify email, create/join company, accept terms, add company details, invite teammates, choose roles, configure MFA, and see onboarding progress.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Build:</w:t>
      </w:r>
      <w:r>
        <w:rPr>
          <w:rFonts w:ascii="Arial" w:hAnsi="Arial"/>
          <w:b w:val="0"/>
          <w:i w:val="0"/>
          <w:color w:val="000000"/>
          <w:sz w:val="22"/>
        </w:rPr>
        <w:t xml:space="preserve"> </w:t>
      </w:r>
      <w:r>
        <w:rPr>
          <w:rFonts w:ascii="Arial" w:hAnsi="Arial"/>
          <w:b w:val="0"/>
          <w:i w:val="0"/>
          <w:color w:val="000000"/>
          <w:sz w:val="22"/>
        </w:rPr>
        <w:t>User/Organization/Membership</w:t>
      </w:r>
      <w:r>
        <w:rPr>
          <w:rFonts w:ascii="Arial" w:hAnsi="Arial"/>
          <w:b w:val="0"/>
          <w:i w:val="0"/>
          <w:color w:val="000000"/>
          <w:sz w:val="22"/>
        </w:rPr>
        <w:t>, invitations, email verification, session management, password reset, MFA, RBAC middleware, organization switcher, audit trail, legal document acceptance, deactivation/recovery, and optional SSO adapter.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Acceptance:</w:t>
      </w:r>
      <w:r>
        <w:rPr>
          <w:rFonts w:ascii="Arial" w:hAnsi="Arial"/>
          <w:b w:val="0"/>
          <w:i w:val="0"/>
          <w:color w:val="000000"/>
          <w:sz w:val="22"/>
        </w:rPr>
        <w:t xml:space="preserve"> revoked members lose access immediately; every mutation is organization-scoped; owners cannot accidentally remove the final owner; session and invitation abuse cases are tested.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B. Vendor and brand profile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Vendor experience:</w:t>
      </w:r>
      <w:r>
        <w:rPr>
          <w:rFonts w:ascii="Arial" w:hAnsi="Arial"/>
          <w:b w:val="0"/>
          <w:i w:val="0"/>
          <w:color w:val="000000"/>
          <w:sz w:val="22"/>
        </w:rPr>
        <w:t xml:space="preserve"> legal/display profile, logo, addresses, support contacts, markets, languages, tax/company identifiers, certifications, brand portfolio, verification checklist.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Build:</w:t>
      </w:r>
      <w:r>
        <w:rPr>
          <w:rFonts w:ascii="Arial" w:hAnsi="Arial"/>
          <w:b w:val="0"/>
          <w:i w:val="0"/>
          <w:color w:val="000000"/>
          <w:sz w:val="22"/>
        </w:rPr>
        <w:t xml:space="preserve"> verification state machine, reviewer notes, private versus public fields, evidence assets, claim expiry, admin review queue, and profile completeness score.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Acceptance:</w:t>
      </w:r>
      <w:r>
        <w:rPr>
          <w:rFonts w:ascii="Arial" w:hAnsi="Arial"/>
          <w:b w:val="0"/>
          <w:i w:val="0"/>
          <w:color w:val="000000"/>
          <w:sz w:val="22"/>
        </w:rPr>
        <w:t xml:space="preserve"> only approved public fields are exposed; brand claims have evidence and an audit history; expiry generates reminders.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C. Catalog workspace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Vendor experience:</w:t>
      </w:r>
      <w:r>
        <w:rPr>
          <w:rFonts w:ascii="Arial" w:hAnsi="Arial"/>
          <w:b w:val="0"/>
          <w:i w:val="0"/>
          <w:color w:val="000000"/>
          <w:sz w:val="22"/>
        </w:rPr>
        <w:t xml:space="preserve"> searchable table/card views, saved filters, drafts, issues, assigned-to-me, recently published, bulk actions, archive/restore, and configurable columns.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Build:</w:t>
      </w:r>
      <w:r>
        <w:rPr>
          <w:rFonts w:ascii="Arial" w:hAnsi="Arial"/>
          <w:b w:val="0"/>
          <w:i w:val="0"/>
          <w:color w:val="000000"/>
          <w:sz w:val="22"/>
        </w:rPr>
        <w:t xml:space="preserve"> cursor pagination, exact identifier lookup, normalized/fuzzy name search, category/brand/status/completeness filters, sorting allowlist, optimistic concurrency/version tokens.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Acceptance:</w:t>
      </w:r>
      <w:r>
        <w:rPr>
          <w:rFonts w:ascii="Arial" w:hAnsi="Arial"/>
          <w:b w:val="0"/>
          <w:i w:val="0"/>
          <w:color w:val="000000"/>
          <w:sz w:val="22"/>
        </w:rPr>
        <w:t xml:space="preserve"> no cross-tenant rows under adversarial IDs/filters; list p95 meets the SLO at target dataset size; concurrent edits produce a conflict rather than lost data.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D. Product editor and variants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Vendor experience:</w:t>
      </w:r>
      <w:r>
        <w:rPr>
          <w:rFonts w:ascii="Arial" w:hAnsi="Arial"/>
          <w:b w:val="0"/>
          <w:i w:val="0"/>
          <w:color w:val="000000"/>
          <w:sz w:val="22"/>
        </w:rPr>
        <w:t xml:space="preserve"> guided steps for identity, classification, variants, packaging, attributes, media, compliance, and review. Simple products skip irrelevant steps. Autosave and return later.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Build:</w:t>
      </w:r>
      <w:r>
        <w:rPr>
          <w:rFonts w:ascii="Arial" w:hAnsi="Arial"/>
          <w:b w:val="0"/>
          <w:i w:val="0"/>
          <w:color w:val="000000"/>
          <w:sz w:val="22"/>
        </w:rPr>
        <w:t xml:space="preserve"> family/variant/package APIs, dynamic template renderer, validation summary, variant matrix generator, copy-from-product, localized content, revision diff, draft autosave, and server-side publication rules.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Acceptance:</w:t>
      </w:r>
      <w:r>
        <w:rPr>
          <w:rFonts w:ascii="Arial" w:hAnsi="Arial"/>
          <w:b w:val="0"/>
          <w:i w:val="0"/>
          <w:color w:val="000000"/>
          <w:sz w:val="22"/>
        </w:rPr>
        <w:t xml:space="preserve"> an apparel family can create size/color variants with separate GTINs; a food case can reference quantity of each; template validation is identical in UI and API.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E. Categories and templates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Vendor experience:</w:t>
      </w:r>
      <w:r>
        <w:rPr>
          <w:rFonts w:ascii="Arial" w:hAnsi="Arial"/>
          <w:b w:val="0"/>
          <w:i w:val="0"/>
          <w:color w:val="000000"/>
          <w:sz w:val="22"/>
        </w:rPr>
        <w:t xml:space="preserve"> browse global taxonomy, map private categories, preview required attributes, create private templates, extend system templates, version and migrate them.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Build:</w:t>
      </w:r>
      <w:r>
        <w:rPr>
          <w:rFonts w:ascii="Arial" w:hAnsi="Arial"/>
          <w:b w:val="0"/>
          <w:i w:val="0"/>
          <w:color w:val="000000"/>
          <w:sz w:val="22"/>
        </w:rPr>
        <w:t xml:space="preserve"> taxonomy paths/versioning, mapping suggestions, typed definition registry, versioned templates, inheritance resolver, bindings, migration preview, and usage counts preventing unsafe retirement.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Acceptance:</w:t>
      </w:r>
      <w:r>
        <w:rPr>
          <w:rFonts w:ascii="Arial" w:hAnsi="Arial"/>
          <w:b w:val="0"/>
          <w:i w:val="0"/>
          <w:color w:val="000000"/>
          <w:sz w:val="22"/>
        </w:rPr>
        <w:t xml:space="preserve"> published versions cannot mutate; deleting a draft never invalidates a product; mapping to another vendor's private category is impossible.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F. Media library and CDN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Vendor experience:</w:t>
      </w:r>
      <w:r>
        <w:rPr>
          <w:rFonts w:ascii="Arial" w:hAnsi="Arial"/>
          <w:b w:val="0"/>
          <w:i w:val="0"/>
          <w:color w:val="000000"/>
          <w:sz w:val="22"/>
        </w:rPr>
        <w:t xml:space="preserve"> drag/drop multi-upload, progress/retry, crop/rotate, primary image, ordering, locale/role, alt text, reusable media library, and processing state.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Build:</w:t>
      </w:r>
      <w:r>
        <w:rPr>
          <w:rFonts w:ascii="Arial" w:hAnsi="Arial"/>
          <w:b w:val="0"/>
          <w:i w:val="0"/>
          <w:color w:val="000000"/>
          <w:sz w:val="22"/>
        </w:rPr>
        <w:t xml:space="preserve"> presigned direct upload, checksum deduplication, server-side content sniffing, EXIF stripping/orientation, malware scan where documents are allowed, dimension/quality policy, moderation hook, R2 asset record, async event processing, CDN variants, deletion lifecycle.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Acceptance:</w:t>
      </w:r>
      <w:r>
        <w:rPr>
          <w:rFonts w:ascii="Arial" w:hAnsi="Arial"/>
          <w:b w:val="0"/>
          <w:i w:val="0"/>
          <w:color w:val="000000"/>
          <w:sz w:val="22"/>
        </w:rPr>
        <w:t xml:space="preserve"> credentials never reach the browser; spoofed MIME and oversize files are rejected; originals remain private; deleting a referenced asset is blocked or safely detached; CDN cache behavior is tested.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G. Barcode, QR, and labels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Vendor experience:</w:t>
      </w:r>
      <w:r>
        <w:rPr>
          <w:rFonts w:ascii="Arial" w:hAnsi="Arial"/>
          <w:b w:val="0"/>
          <w:i w:val="0"/>
          <w:color w:val="000000"/>
          <w:sz w:val="22"/>
        </w:rPr>
        <w:t xml:space="preserve"> scan or enter identifier, see check-digit/ownership diagnostics, generate internal code when appropriate, preview/download code, configure resolver destination, print labels.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Build:</w:t>
      </w:r>
      <w:r>
        <w:rPr>
          <w:rFonts w:ascii="Arial" w:hAnsi="Arial"/>
          <w:b w:val="0"/>
          <w:i w:val="0"/>
          <w:color w:val="000000"/>
          <w:sz w:val="22"/>
        </w:rPr>
        <w:t xml:space="preserve"> identifier service, normalization, conflict workflow, GS1 Digital Link/internal resolver, SVG/PNG/PDF rendering, label templates, access analytics with privacy controls.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Acceptance:</w:t>
      </w:r>
      <w:r>
        <w:rPr>
          <w:rFonts w:ascii="Arial" w:hAnsi="Arial"/>
          <w:b w:val="0"/>
          <w:i w:val="0"/>
          <w:color w:val="000000"/>
          <w:sz w:val="22"/>
        </w:rPr>
        <w:t xml:space="preserve"> invalid checksums cannot publish as verified GTINs; identifiers are unique within their governed namespace; a scan resolves through a stable public ID without exposing internal UUIDs.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H. Bulk import/export and migration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Vendor experience:</w:t>
      </w:r>
      <w:r>
        <w:rPr>
          <w:rFonts w:ascii="Arial" w:hAnsi="Arial"/>
          <w:b w:val="0"/>
          <w:i w:val="0"/>
          <w:color w:val="000000"/>
          <w:sz w:val="22"/>
        </w:rPr>
        <w:t xml:space="preserve"> download template, upload CSV/XLSX, map columns, preview rows, correct errors, resume/cancel, and download a row-level report. Later: SFTP/API feeds.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Build:</w:t>
      </w:r>
      <w:r>
        <w:rPr>
          <w:rFonts w:ascii="Arial" w:hAnsi="Arial"/>
          <w:b w:val="0"/>
          <w:i w:val="0"/>
          <w:color w:val="000000"/>
          <w:sz w:val="22"/>
        </w:rPr>
        <w:t xml:space="preserve"> staged object upload, streaming parser, durable </w:t>
      </w:r>
      <w:r>
        <w:rPr>
          <w:rFonts w:ascii="Arial" w:hAnsi="Arial"/>
          <w:b w:val="0"/>
          <w:i w:val="0"/>
          <w:color w:val="000000"/>
          <w:sz w:val="22"/>
        </w:rPr>
        <w:t>ImportJob</w:t>
      </w:r>
      <w:r>
        <w:rPr>
          <w:rFonts w:ascii="Arial" w:hAnsi="Arial"/>
          <w:b w:val="0"/>
          <w:i w:val="0"/>
          <w:color w:val="000000"/>
          <w:sz w:val="22"/>
        </w:rPr>
        <w:t>, schema/version selection, row idempotency, dry run, batched writes, retry/dead-letter behavior, progress events/polling, export snapshot jobs.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Acceptance:</w:t>
      </w:r>
      <w:r>
        <w:rPr>
          <w:rFonts w:ascii="Arial" w:hAnsi="Arial"/>
          <w:b w:val="0"/>
          <w:i w:val="0"/>
          <w:color w:val="000000"/>
          <w:sz w:val="22"/>
        </w:rPr>
        <w:t xml:space="preserve"> duplicate retries do not duplicate products; every rejected row has a stable error code and column; cancellation stops future batches; imports cannot reference unauthorized tenants/categories.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I. Quality, duplicate detection, and moderation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Vendor experience:</w:t>
      </w:r>
      <w:r>
        <w:rPr>
          <w:rFonts w:ascii="Arial" w:hAnsi="Arial"/>
          <w:b w:val="0"/>
          <w:i w:val="0"/>
          <w:color w:val="000000"/>
          <w:sz w:val="22"/>
        </w:rPr>
        <w:t xml:space="preserve"> completeness score, blocking errors versus advice, duplicate candidates, reviewer feedback, side-by-side changes, resubmit.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Build:</w:t>
      </w:r>
      <w:r>
        <w:rPr>
          <w:rFonts w:ascii="Arial" w:hAnsi="Arial"/>
          <w:b w:val="0"/>
          <w:i w:val="0"/>
          <w:color w:val="000000"/>
          <w:sz w:val="22"/>
        </w:rPr>
        <w:t xml:space="preserve"> deterministic rules first, weighted match candidates (GTIN exact, MPN+brand, normalized name/attributes), reviewer queue, risk tiers, merge/split tools, SLA metrics, immutable decisions.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Acceptance:</w:t>
      </w:r>
      <w:r>
        <w:rPr>
          <w:rFonts w:ascii="Arial" w:hAnsi="Arial"/>
          <w:b w:val="0"/>
          <w:i w:val="0"/>
          <w:color w:val="000000"/>
          <w:sz w:val="22"/>
        </w:rPr>
        <w:t xml:space="preserve"> exact valid identifier conflicts always block; fuzzy matches only suggest; merge is reversible through aliases and audit data; high-risk field changes require review.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J. Collaboration and notifications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Vendor experience:</w:t>
      </w:r>
      <w:r>
        <w:rPr>
          <w:rFonts w:ascii="Arial" w:hAnsi="Arial"/>
          <w:b w:val="0"/>
          <w:i w:val="0"/>
          <w:color w:val="000000"/>
          <w:sz w:val="22"/>
        </w:rPr>
        <w:t xml:space="preserve"> assign draft/review, comments with mentions, activity timeline, in-app/email notifications, digest preferences.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Build:</w:t>
      </w:r>
      <w:r>
        <w:rPr>
          <w:rFonts w:ascii="Arial" w:hAnsi="Arial"/>
          <w:b w:val="0"/>
          <w:i w:val="0"/>
          <w:color w:val="000000"/>
          <w:sz w:val="22"/>
        </w:rPr>
        <w:t xml:space="preserve"> task assignments, threaded comments, notification outbox, email templates, preference center, bounce/suppression handling.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Acceptance:</w:t>
      </w:r>
      <w:r>
        <w:rPr>
          <w:rFonts w:ascii="Arial" w:hAnsi="Arial"/>
          <w:b w:val="0"/>
          <w:i w:val="0"/>
          <w:color w:val="000000"/>
          <w:sz w:val="22"/>
        </w:rPr>
        <w:t xml:space="preserve"> permissions protect private notes; notification delivery is idempotent; users can opt out of non-transactional mail.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K. APIs, webhooks, and enterprise integration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Vendor experience:</w:t>
      </w:r>
      <w:r>
        <w:rPr>
          <w:rFonts w:ascii="Arial" w:hAnsi="Arial"/>
          <w:b w:val="0"/>
          <w:i w:val="0"/>
          <w:color w:val="000000"/>
          <w:sz w:val="22"/>
        </w:rPr>
        <w:t xml:space="preserve"> scoped API credentials, documentation, sandbox, webhook subscriptions, delivery log, retry/test button, ERP/PIM connector guidance.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Build:</w:t>
      </w:r>
      <w:r>
        <w:rPr>
          <w:rFonts w:ascii="Arial" w:hAnsi="Arial"/>
          <w:b w:val="0"/>
          <w:i w:val="0"/>
          <w:color w:val="000000"/>
          <w:sz w:val="22"/>
        </w:rPr>
        <w:t xml:space="preserve"> OpenAPI, key hashing/rotation, per-key scopes/limits, idempotency keys, signed versioned webhooks, replay protection, outbox delivery, connector mapping profiles.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Acceptance:</w:t>
      </w:r>
      <w:r>
        <w:rPr>
          <w:rFonts w:ascii="Arial" w:hAnsi="Arial"/>
          <w:b w:val="0"/>
          <w:i w:val="0"/>
          <w:color w:val="000000"/>
          <w:sz w:val="22"/>
        </w:rPr>
        <w:t xml:space="preserve"> secrets are shown once; payload signatures and timestamps verify; failed delivery retries with backoff and reaches a dead-letter state; breaking changes require a new API/event version.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L. Analytics and administration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Vendor:</w:t>
      </w:r>
      <w:r>
        <w:rPr>
          <w:rFonts w:ascii="Arial" w:hAnsi="Arial"/>
          <w:b w:val="0"/>
          <w:i w:val="0"/>
          <w:color w:val="000000"/>
          <w:sz w:val="22"/>
        </w:rPr>
        <w:t xml:space="preserve"> catalog totals, completeness, review turnaround, import errors, popular resolver scans, retailer adoption where consent/contracts allow.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Platform admin:</w:t>
      </w:r>
      <w:r>
        <w:rPr>
          <w:rFonts w:ascii="Arial" w:hAnsi="Arial"/>
          <w:b w:val="0"/>
          <w:i w:val="0"/>
          <w:color w:val="000000"/>
          <w:sz w:val="22"/>
        </w:rPr>
        <w:t xml:space="preserve"> vendor verification, brand claims, moderation, duplicates, taxonomy/templates, abuse, support impersonation with explicit consent and audit, feature flags.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Acceptance:</w:t>
      </w:r>
      <w:r>
        <w:rPr>
          <w:rFonts w:ascii="Arial" w:hAnsi="Arial"/>
          <w:b w:val="0"/>
          <w:i w:val="0"/>
          <w:color w:val="000000"/>
          <w:sz w:val="22"/>
        </w:rPr>
        <w:t xml:space="preserve"> metrics do not leak retailer-sensitive information; admin access is least-privilege and audited; exported personal data follows retention policy.</w:t>
      </w:r>
    </w:p>
    <w:p>
      <w:pPr>
        <w:pStyle w:val="Heading2"/>
      </w:pPr>
      <w:r>
        <w:rPr>
          <w:rFonts w:ascii="Arial" w:hAnsi="Arial"/>
          <w:b w:val="0"/>
          <w:i w:val="0"/>
          <w:color w:val="000000"/>
          <w:sz w:val="32"/>
        </w:rPr>
        <w:t>12. Technology and infrastructure plan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Set up now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Borders>
          <w:top w:val="single" w:sz="2" w:space="0" w:color="DADCE0"/>
          <w:left w:val="single" w:sz="2" w:space="0" w:color="DADCE0"/>
          <w:bottom w:val="single" w:sz="2" w:space="0" w:color="DADCE0"/>
          <w:right w:val="single" w:sz="2" w:space="0" w:color="DADCE0"/>
          <w:insideH w:val="single" w:sz="2" w:space="0" w:color="DADCE0"/>
          <w:insideV w:val="single" w:sz="2" w:space="0" w:color="DADCE0"/>
        </w:tblBorders>
      </w:tblPr>
      <w:tblGrid>
        <w:gridCol w:w="2100"/>
        <w:gridCol w:w="3630"/>
        <w:gridCol w:w="363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Capability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Recommendation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Why now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DNS, edge TLS, WAF, CDN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Cloudflare zone with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portal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api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media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, and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 subdomains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Establish stable public boundaries and delivery URLs before data accumulates.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Object storage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Private Cloudflare R2 buckets per environment; separate temporary import prefix/bucket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Replaces broken local disk and supports lifecycle, checksums, direct uploads, and provider-neutral keys.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Image delivery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R2 originals + Cloudflare Images transformations with a small allowlisted set of variants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Responsive formats/sizes without storing derivative sprawl.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Database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Managed PostgreSQL with PITR, encrypted connections, staging clone policy, Prisma migrations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Existing stack; add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pg_trgm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, indexes, backup/restore drills, connection pooling.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Background work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Redis-compatible managed store + BullMQ workers, or an equivalent managed queue behind an adapter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Imports, media processing, notifications, exports, webhooks, and QR/label rendering must leave request transactions.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API contract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OpenAPI 3.1/3.2 document generated/validated in CI; generated TypeScript client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Eliminates the current UI/API DTO drift and documents webhooks.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Authentication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Secure cookie/BFF session layer and provider abstraction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Fixes localStorage bearer tokens now; allows a managed OIDC/SSO provider later without rewriting domain authorization.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Transactional email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Provider adapter with verified sending domain, SPF/DKIM/DMARC, sandbox, suppression handling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Required for verification, invitations, reset, review, and import notifications.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Observability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OpenTelemetry instrumentation, structured JSON logs, error tracker, request/job correlation IDs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Needed before async processing and moderation make failures harder to trace.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CI/CD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Locked Node version,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npm ci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, build, lint, unit/integration tests, migration check, dependency/secret/container scan, preview/staging deploy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The current baseline does not build or test; make regressions visible.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Secrets/config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Per-environment secret manager; schema-validated startup configuration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Prevents insecure fallback secrets and environment drift.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Local development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 xml:space="preserve">Docker Compose for PostgreSQL + Redis-compatible store; local object-storage adapter/emulator; </w:t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.env.example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Reproducible onboarding and test parity.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Add when triggered by evidence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Borders>
          <w:top w:val="single" w:sz="2" w:space="0" w:color="DADCE0"/>
          <w:left w:val="single" w:sz="2" w:space="0" w:color="DADCE0"/>
          <w:bottom w:val="single" w:sz="2" w:space="0" w:color="DADCE0"/>
          <w:right w:val="single" w:sz="2" w:space="0" w:color="DADCE0"/>
          <w:insideH w:val="single" w:sz="2" w:space="0" w:color="DADCE0"/>
          <w:insideV w:val="single" w:sz="2" w:space="0" w:color="DADCE0"/>
        </w:tblBorders>
      </w:tblPr>
      <w:tblGrid>
        <w:gridCol w:w="2100"/>
        <w:gridCol w:w="3630"/>
        <w:gridCol w:w="363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Capability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Trigger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Direction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OpenSearch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PostgreSQL cannot meet measured fuzzy/faceted search SLOs at projected catalog size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Build from publication outbox; PostgreSQL remains truth.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Enterprise SSO/SCIM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Contracted customer requirement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Use managed OIDC/SAML/SCIM behind the identity adapter.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Dedicated workflow engine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Multi-day workflows outgrow queue/state tables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Evaluate Temporal or equivalent for complex resumable orchestration.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Data warehouse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Operational analytics harm primary DB or cross-domain BI becomes material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CDC/outbox into object storage/warehouse with governed models.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Separate services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Independent scaling/deployment or ownership pain is demonstrated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Extract media/import/search consumers first because boundaries already exist.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R2/CDN topology</w:t>
      </w:r>
    </w:p>
    <w:p>
      <w:pPr>
        <w:pStyle w:val="ListBullet"/>
        <w:spacing w:after="80" w:line="276" w:lineRule="auto"/>
        <w:ind w:left="720" w:hanging="360"/>
      </w:pPr>
      <w:r>
        <w:rPr>
          <w:rFonts w:ascii="Courier New" w:hAnsi="Courier New"/>
          <w:b w:val="0"/>
          <w:i w:val="0"/>
          <w:color w:val="000000"/>
          <w:sz w:val="20"/>
        </w:rPr>
        <w:t>vendor-media-{env}</w:t>
      </w:r>
      <w:r>
        <w:rPr>
          <w:rFonts w:ascii="Arial" w:hAnsi="Arial"/>
          <w:b w:val="0"/>
          <w:i w:val="0"/>
          <w:color w:val="000000"/>
          <w:sz w:val="22"/>
        </w:rPr>
        <w:t xml:space="preserve">: private originals, keys such as </w:t>
      </w:r>
      <w:r>
        <w:rPr>
          <w:rFonts w:ascii="Courier New" w:hAnsi="Courier New"/>
          <w:b w:val="0"/>
          <w:i w:val="0"/>
          <w:color w:val="000000"/>
          <w:sz w:val="20"/>
        </w:rPr>
        <w:t>org/{orgId}/product/{productId}/{assetId}/original</w:t>
      </w:r>
      <w:r>
        <w:rPr>
          <w:rFonts w:ascii="Arial" w:hAnsi="Arial"/>
          <w:b w:val="0"/>
          <w:i w:val="0"/>
          <w:color w:val="000000"/>
          <w:sz w:val="22"/>
        </w:rPr>
        <w:t>.</w:t>
      </w:r>
    </w:p>
    <w:p>
      <w:pPr>
        <w:pStyle w:val="ListBullet"/>
        <w:spacing w:after="80" w:line="276" w:lineRule="auto"/>
        <w:ind w:left="720" w:hanging="360"/>
      </w:pPr>
      <w:r>
        <w:rPr>
          <w:rFonts w:ascii="Courier New" w:hAnsi="Courier New"/>
          <w:b w:val="0"/>
          <w:i w:val="0"/>
          <w:color w:val="000000"/>
          <w:sz w:val="20"/>
        </w:rPr>
        <w:t>vendor-imports-{env}</w:t>
      </w:r>
      <w:r>
        <w:rPr>
          <w:rFonts w:ascii="Arial" w:hAnsi="Arial"/>
          <w:b w:val="0"/>
          <w:i w:val="0"/>
          <w:color w:val="000000"/>
          <w:sz w:val="22"/>
        </w:rPr>
        <w:t xml:space="preserve"> or </w:t>
      </w:r>
      <w:r>
        <w:rPr>
          <w:rFonts w:ascii="Courier New" w:hAnsi="Courier New"/>
          <w:b w:val="0"/>
          <w:i w:val="0"/>
          <w:color w:val="000000"/>
          <w:sz w:val="20"/>
        </w:rPr>
        <w:t>imports/</w:t>
      </w:r>
      <w:r>
        <w:rPr>
          <w:rFonts w:ascii="Arial" w:hAnsi="Arial"/>
          <w:b w:val="0"/>
          <w:i w:val="0"/>
          <w:color w:val="000000"/>
          <w:sz w:val="22"/>
        </w:rPr>
        <w:t xml:space="preserve"> prefix: private, short retention, never public.</w:t>
      </w:r>
    </w:p>
    <w:p>
      <w:pPr>
        <w:pStyle w:val="ListBullet"/>
        <w:spacing w:after="80" w:line="276" w:lineRule="auto"/>
        <w:ind w:left="720" w:hanging="360"/>
      </w:pPr>
      <w:r>
        <w:rPr>
          <w:rFonts w:ascii="Courier New" w:hAnsi="Courier New"/>
          <w:b w:val="0"/>
          <w:i w:val="0"/>
          <w:color w:val="000000"/>
          <w:sz w:val="20"/>
        </w:rPr>
        <w:t>vendor-exports-{env}</w:t>
      </w:r>
      <w:r>
        <w:rPr>
          <w:rFonts w:ascii="Arial" w:hAnsi="Arial"/>
          <w:b w:val="0"/>
          <w:i w:val="0"/>
          <w:color w:val="000000"/>
          <w:sz w:val="22"/>
        </w:rPr>
        <w:t xml:space="preserve"> or </w:t>
      </w:r>
      <w:r>
        <w:rPr>
          <w:rFonts w:ascii="Courier New" w:hAnsi="Courier New"/>
          <w:b w:val="0"/>
          <w:i w:val="0"/>
          <w:color w:val="000000"/>
          <w:sz w:val="20"/>
        </w:rPr>
        <w:t>exports/</w:t>
      </w:r>
      <w:r>
        <w:rPr>
          <w:rFonts w:ascii="Arial" w:hAnsi="Arial"/>
          <w:b w:val="0"/>
          <w:i w:val="0"/>
          <w:color w:val="000000"/>
          <w:sz w:val="22"/>
        </w:rPr>
        <w:t xml:space="preserve"> prefix: private, short retention, signed download only.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 xml:space="preserve">Browser asks API for an upload intent containing asset ID, allowed content type/size, object key, checksum requirement, and short-lived presigned </w:t>
      </w:r>
      <w:r>
        <w:rPr>
          <w:rFonts w:ascii="Courier New" w:hAnsi="Courier New"/>
          <w:b w:val="0"/>
          <w:i w:val="0"/>
          <w:color w:val="000000"/>
          <w:sz w:val="20"/>
        </w:rPr>
        <w:t>PUT</w:t>
      </w:r>
      <w:r>
        <w:rPr>
          <w:rFonts w:ascii="Arial" w:hAnsi="Arial"/>
          <w:b w:val="0"/>
          <w:i w:val="0"/>
          <w:color w:val="000000"/>
          <w:sz w:val="22"/>
        </w:rPr>
        <w:t xml:space="preserve"> URL.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 xml:space="preserve">Browser uploads directly. Completion is confirmed with object metadata; an event/job moves the asset through </w:t>
      </w:r>
      <w:r>
        <w:rPr>
          <w:rFonts w:ascii="Courier New" w:hAnsi="Courier New"/>
          <w:b w:val="0"/>
          <w:i w:val="0"/>
          <w:color w:val="000000"/>
          <w:sz w:val="20"/>
        </w:rPr>
        <w:t>UPLOADED → SCANNING → PROCESSING → READY/REJECTED</w:t>
      </w:r>
      <w:r>
        <w:rPr>
          <w:rFonts w:ascii="Arial" w:hAnsi="Arial"/>
          <w:b w:val="0"/>
          <w:i w:val="0"/>
          <w:color w:val="000000"/>
          <w:sz w:val="22"/>
        </w:rPr>
        <w:t>.</w:t>
      </w:r>
    </w:p>
    <w:p>
      <w:pPr>
        <w:pStyle w:val="ListBullet"/>
        <w:spacing w:after="80" w:line="276" w:lineRule="auto"/>
        <w:ind w:left="720" w:hanging="360"/>
      </w:pPr>
      <w:r>
        <w:rPr>
          <w:rFonts w:ascii="Courier New" w:hAnsi="Courier New"/>
          <w:b w:val="0"/>
          <w:i w:val="0"/>
          <w:color w:val="000000"/>
          <w:sz w:val="20"/>
        </w:rPr>
        <w:t>media.example.com</w:t>
      </w:r>
      <w:r>
        <w:rPr>
          <w:rFonts w:ascii="Arial" w:hAnsi="Arial"/>
          <w:b w:val="0"/>
          <w:i w:val="0"/>
          <w:color w:val="000000"/>
          <w:sz w:val="22"/>
        </w:rPr>
        <w:t xml:space="preserve"> serves approved public product media via a custom domain and fixed transformations. Do not expose the development </w:t>
      </w:r>
      <w:r>
        <w:rPr>
          <w:rFonts w:ascii="Courier New" w:hAnsi="Courier New"/>
          <w:b w:val="0"/>
          <w:i w:val="0"/>
          <w:color w:val="000000"/>
          <w:sz w:val="20"/>
        </w:rPr>
        <w:t>r2.dev</w:t>
      </w:r>
      <w:r>
        <w:rPr>
          <w:rFonts w:ascii="Arial" w:hAnsi="Arial"/>
          <w:b w:val="0"/>
          <w:i w:val="0"/>
          <w:color w:val="000000"/>
          <w:sz w:val="22"/>
        </w:rPr>
        <w:t xml:space="preserve"> domain.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Use immutable versioned object keys and long cache lifetimes. Changing media creates a new asset/key; publication switches the reference.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Apply lifecycle rules to abandoned uploads, rejected files, and expired imports/exports. Product originals follow retention/contract policy.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Keep transformation origin allowlists and a fixed variant catalog to prevent unbounded transformation abuse and cost.</w:t>
      </w:r>
    </w:p>
    <w:p>
      <w:pPr>
        <w:pStyle w:val="Heading2"/>
      </w:pPr>
      <w:r>
        <w:rPr>
          <w:rFonts w:ascii="Arial" w:hAnsi="Arial"/>
          <w:b w:val="0"/>
          <w:i w:val="0"/>
          <w:color w:val="000000"/>
          <w:sz w:val="32"/>
        </w:rPr>
        <w:t>13. Security and tenancy baseline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Organization ID comes from the authenticated session/membership, never from a trusted request body.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Service methods require an authorization context and permission; controllers do not query Prisma directly after the foundation refactor.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 xml:space="preserve">Add PostgreSQL row-level security for tenant-owned tables as defense in depth. Test under the actual non-owner application role; owners and </w:t>
      </w:r>
      <w:r>
        <w:rPr>
          <w:rFonts w:ascii="Courier New" w:hAnsi="Courier New"/>
          <w:b w:val="0"/>
          <w:i w:val="0"/>
          <w:color w:val="000000"/>
          <w:sz w:val="20"/>
        </w:rPr>
        <w:t>BYPASSRLS</w:t>
      </w:r>
      <w:r>
        <w:rPr>
          <w:rFonts w:ascii="Arial" w:hAnsi="Arial"/>
          <w:b w:val="0"/>
          <w:i w:val="0"/>
          <w:color w:val="000000"/>
          <w:sz w:val="22"/>
        </w:rPr>
        <w:t xml:space="preserve"> roles can bypass policies.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 xml:space="preserve">Use opaque, rotatable sessions in </w:t>
      </w:r>
      <w:r>
        <w:rPr>
          <w:rFonts w:ascii="Courier New" w:hAnsi="Courier New"/>
          <w:b w:val="0"/>
          <w:i w:val="0"/>
          <w:color w:val="000000"/>
          <w:sz w:val="20"/>
        </w:rPr>
        <w:t>HttpOnly; Secure; SameSite</w:t>
      </w:r>
      <w:r>
        <w:rPr>
          <w:rFonts w:ascii="Arial" w:hAnsi="Arial"/>
          <w:b w:val="0"/>
          <w:i w:val="0"/>
          <w:color w:val="000000"/>
          <w:sz w:val="22"/>
        </w:rPr>
        <w:t xml:space="preserve"> cookies, CSRF protection for state-changing browser requests, short idle/absolute lifetimes, and immediate membership/session revocation.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Require MFA for owners/admins and sensitive operations. Add step-up authentication for secret rotation, SSO changes, ownership transfer, and purge.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Validate every body, query, parameter, uploaded object, and webhook target. Cap pagination and input complexity.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Apply strict CORS, CSP, frame, referrer, HSTS, and permissions policies; do not rely on Helmet defaults without reviewing them.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Hash passwords with a modern memory-hard algorithm or use a managed identity provider. Hash API keys and reset/invite tokens at rest.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Encrypt integration secrets and sensitive verification data with managed keys; separate public product facts from private legal documents.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Prevent SSRF in webhook URLs and remote media ingestion with scheme/port rules, DNS/IP revalidation, egress controls, and response limits.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Use shared, layered rate limits by IP, account, organization, credential, and expensive operation.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Record immutable audit events for authentication, permissions, product publication, identifier claims, merges, export, and admin access.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Define retention, legal hold, export, deactivation, and purge behavior before accepting real vendor documents.</w:t>
      </w:r>
    </w:p>
    <w:p>
      <w:pPr>
        <w:pStyle w:val="Heading2"/>
      </w:pPr>
      <w:r>
        <w:rPr>
          <w:rFonts w:ascii="Arial" w:hAnsi="Arial"/>
          <w:b w:val="0"/>
          <w:i w:val="0"/>
          <w:color w:val="000000"/>
          <w:sz w:val="32"/>
        </w:rPr>
        <w:t>14. API and event conventions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 xml:space="preserve">Resource paths use organizations implicitly from session: </w:t>
      </w:r>
      <w:r>
        <w:rPr>
          <w:rFonts w:ascii="Courier New" w:hAnsi="Courier New"/>
          <w:b w:val="0"/>
          <w:i w:val="0"/>
          <w:color w:val="000000"/>
          <w:sz w:val="20"/>
        </w:rPr>
        <w:t>/v1/catalog/products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0"/>
        </w:rPr>
        <w:t>/v1/catalog/products/{id}/revisions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0"/>
        </w:rPr>
        <w:t>/v1/import-jobs</w:t>
      </w:r>
      <w:r>
        <w:rPr>
          <w:rFonts w:ascii="Arial" w:hAnsi="Arial"/>
          <w:b w:val="0"/>
          <w:i w:val="0"/>
          <w:color w:val="000000"/>
          <w:sz w:val="22"/>
        </w:rPr>
        <w:t>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Responses have one consistent envelope or no envelope—choose once and generate clients from it.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Use stable machine error codes plus human messages and field paths.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 xml:space="preserve">Use cursor pagination for large collections; return </w:t>
      </w:r>
      <w:r>
        <w:rPr>
          <w:rFonts w:ascii="Courier New" w:hAnsi="Courier New"/>
          <w:b w:val="0"/>
          <w:i w:val="0"/>
          <w:color w:val="000000"/>
          <w:sz w:val="20"/>
        </w:rPr>
        <w:t>nextCursor</w:t>
      </w:r>
      <w:r>
        <w:rPr>
          <w:rFonts w:ascii="Arial" w:hAnsi="Arial"/>
          <w:b w:val="0"/>
          <w:i w:val="0"/>
          <w:color w:val="000000"/>
          <w:sz w:val="22"/>
        </w:rPr>
        <w:t xml:space="preserve"> and bounded </w:t>
      </w:r>
      <w:r>
        <w:rPr>
          <w:rFonts w:ascii="Courier New" w:hAnsi="Courier New"/>
          <w:b w:val="0"/>
          <w:i w:val="0"/>
          <w:color w:val="000000"/>
          <w:sz w:val="20"/>
        </w:rPr>
        <w:t>limit</w:t>
      </w:r>
      <w:r>
        <w:rPr>
          <w:rFonts w:ascii="Arial" w:hAnsi="Arial"/>
          <w:b w:val="0"/>
          <w:i w:val="0"/>
          <w:color w:val="000000"/>
          <w:sz w:val="22"/>
        </w:rPr>
        <w:t>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 xml:space="preserve">Mutations accept </w:t>
      </w:r>
      <w:r>
        <w:rPr>
          <w:rFonts w:ascii="Courier New" w:hAnsi="Courier New"/>
          <w:b w:val="0"/>
          <w:i w:val="0"/>
          <w:color w:val="000000"/>
          <w:sz w:val="20"/>
        </w:rPr>
        <w:t>Idempotency-Key</w:t>
      </w:r>
      <w:r>
        <w:rPr>
          <w:rFonts w:ascii="Arial" w:hAnsi="Arial"/>
          <w:b w:val="0"/>
          <w:i w:val="0"/>
          <w:color w:val="000000"/>
          <w:sz w:val="22"/>
        </w:rPr>
        <w:t>; revision updates use an ETag/version precondition.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 xml:space="preserve">Long operations return </w:t>
      </w:r>
      <w:r>
        <w:rPr>
          <w:rFonts w:ascii="Courier New" w:hAnsi="Courier New"/>
          <w:b w:val="0"/>
          <w:i w:val="0"/>
          <w:color w:val="000000"/>
          <w:sz w:val="20"/>
        </w:rPr>
        <w:t>202 Accepted</w:t>
      </w:r>
      <w:r>
        <w:rPr>
          <w:rFonts w:ascii="Arial" w:hAnsi="Arial"/>
          <w:b w:val="0"/>
          <w:i w:val="0"/>
          <w:color w:val="000000"/>
          <w:sz w:val="22"/>
        </w:rPr>
        <w:t xml:space="preserve"> with a job resource, not a held HTTP request.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 xml:space="preserve">Published events include </w:t>
      </w:r>
      <w:r>
        <w:rPr>
          <w:rFonts w:ascii="Courier New" w:hAnsi="Courier New"/>
          <w:b w:val="0"/>
          <w:i w:val="0"/>
          <w:color w:val="000000"/>
          <w:sz w:val="20"/>
        </w:rPr>
        <w:t>eventId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0"/>
        </w:rPr>
        <w:t>type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0"/>
        </w:rPr>
        <w:t>version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0"/>
        </w:rPr>
        <w:t>occurredAt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0"/>
        </w:rPr>
        <w:t>organizationId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0"/>
        </w:rPr>
        <w:t>aggregateId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0"/>
        </w:rPr>
        <w:t>aggregateVersion</w:t>
      </w:r>
      <w:r>
        <w:rPr>
          <w:rFonts w:ascii="Arial" w:hAnsi="Arial"/>
          <w:b w:val="0"/>
          <w:i w:val="0"/>
          <w:color w:val="000000"/>
          <w:sz w:val="22"/>
        </w:rPr>
        <w:t>, and payload.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 xml:space="preserve">Initial events: </w:t>
      </w:r>
      <w:r>
        <w:rPr>
          <w:rFonts w:ascii="Courier New" w:hAnsi="Courier New"/>
          <w:b w:val="0"/>
          <w:i w:val="0"/>
          <w:color w:val="000000"/>
          <w:sz w:val="20"/>
        </w:rPr>
        <w:t>product.revision.published.v1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0"/>
        </w:rPr>
        <w:t>product.discontinued.v1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0"/>
        </w:rPr>
        <w:t>product.merged.v1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0"/>
        </w:rPr>
        <w:t>media.ready.v1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0"/>
        </w:rPr>
        <w:t>import.completed.v1</w:t>
      </w:r>
      <w:r>
        <w:rPr>
          <w:rFonts w:ascii="Arial" w:hAnsi="Arial"/>
          <w:b w:val="0"/>
          <w:i w:val="0"/>
          <w:color w:val="000000"/>
          <w:sz w:val="22"/>
        </w:rPr>
        <w:t>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Webhooks are signed over raw bytes and timestamp, retry with exponential backoff/jitter, and support replay from a delivery log.</w:t>
      </w:r>
    </w:p>
    <w:p>
      <w:pPr>
        <w:pStyle w:val="Heading2"/>
      </w:pPr>
      <w:r>
        <w:rPr>
          <w:rFonts w:ascii="Arial" w:hAnsi="Arial"/>
          <w:b w:val="0"/>
          <w:i w:val="0"/>
          <w:color w:val="000000"/>
          <w:sz w:val="32"/>
        </w:rPr>
        <w:t>15. Non-functional targets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Targets should be confirmed with expected catalog sizes and contracts, but these are useful starting points: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Borders>
          <w:top w:val="single" w:sz="2" w:space="0" w:color="DADCE0"/>
          <w:left w:val="single" w:sz="2" w:space="0" w:color="DADCE0"/>
          <w:bottom w:val="single" w:sz="2" w:space="0" w:color="DADCE0"/>
          <w:right w:val="single" w:sz="2" w:space="0" w:color="DADCE0"/>
          <w:insideH w:val="single" w:sz="2" w:space="0" w:color="DADCE0"/>
          <w:insideV w:val="single" w:sz="2" w:space="0" w:color="DADCE0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Concern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Initial target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Availability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99.9% monthly for portal/API; public resolver designed for higher edge availability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API latency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p95 &lt; 400 ms for ordinary reads/writes excluding jobs; exact identifier lookup p95 &lt; 200 ms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Catalog search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p95 &lt; 800 ms at the agreed benchmark corpus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Job reliability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At-least-once processing with idempotent handlers; no silent loss; dead-letter visibility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Tenant isolation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Zero known cross-tenant access; automated negative tests for every tenant-owned resource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Recovery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Set RPO/RTO with the business; run restore drills, not only backups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Accessibility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WCAG 2.2 AA for primary vendor workflows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Localization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UTF-8, locale-aware content, units, dates, and time zones from the foundation phase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Audit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Security/publication audit events retained according to written policy and queryable by support/admin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/>
          <w:b w:val="0"/>
          <w:i w:val="0"/>
          <w:color w:val="000000"/>
          <w:sz w:val="32"/>
        </w:rPr>
        <w:t>16. Test strategy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Required layers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Unit tests for validation, identifier check digits, template inheritance, permissions, merge rules, and job idempotency.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PostgreSQL integration tests with real migrations and RLS under the application role; avoid mocking Prisma for core authorization behavior.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API contract tests generated/checked against OpenAPI.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End-to-end browser tests for onboarding, create/submit product, media upload, bulk preview, review feedback, publication, and role denial.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Adversarial tenancy tests that substitute another organization's IDs in paths, bodies, relationships, imports, and filters.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Upload tests for MIME spoofing, decompression/CSV bombs, malicious documents, checksums, partial upload, and orphan cleanup.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Performance tests with realistic product/variant/attribute distributions and large imports.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Accessibility testing automated in CI plus manual keyboard/screen-reader checks for the dynamic product form.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Backup restore, queue replay, webhook retry, and deployment rollback drills in staging.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Repair the existing suite first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 xml:space="preserve">The existing tests use </w:t>
      </w:r>
      <w:r>
        <w:rPr>
          <w:rFonts w:ascii="Arial" w:hAnsi="Arial"/>
          <w:b w:val="0"/>
          <w:i w:val="0"/>
          <w:color w:val="000000"/>
          <w:sz w:val="22"/>
        </w:rPr>
        <w:t>name</w:t>
      </w:r>
      <w:r>
        <w:rPr>
          <w:rFonts w:ascii="Arial" w:hAnsi="Arial"/>
          <w:b w:val="0"/>
          <w:i w:val="0"/>
          <w:color w:val="000000"/>
          <w:sz w:val="22"/>
        </w:rPr>
        <w:t xml:space="preserve"> where registration requires </w:t>
      </w:r>
      <w:r>
        <w:rPr>
          <w:rFonts w:ascii="Arial" w:hAnsi="Arial"/>
          <w:b w:val="0"/>
          <w:i w:val="0"/>
          <w:color w:val="000000"/>
          <w:sz w:val="22"/>
        </w:rPr>
        <w:t>companyName</w:t>
      </w:r>
      <w:r>
        <w:rPr>
          <w:rFonts w:ascii="Arial" w:hAnsi="Arial"/>
          <w:b w:val="0"/>
          <w:i w:val="0"/>
          <w:color w:val="000000"/>
          <w:sz w:val="22"/>
        </w:rPr>
        <w:t xml:space="preserve">, expect top-level auth data while controllers use </w:t>
      </w:r>
      <w:r>
        <w:rPr>
          <w:rFonts w:ascii="Arial" w:hAnsi="Arial"/>
          <w:b w:val="0"/>
          <w:i w:val="0"/>
          <w:color w:val="000000"/>
          <w:sz w:val="22"/>
        </w:rPr>
        <w:t>{success,data}</w:t>
      </w:r>
      <w:r>
        <w:rPr>
          <w:rFonts w:ascii="Arial" w:hAnsi="Arial"/>
          <w:b w:val="0"/>
          <w:i w:val="0"/>
          <w:color w:val="000000"/>
          <w:sz w:val="22"/>
        </w:rPr>
        <w:t xml:space="preserve">, mock </w:t>
      </w:r>
      <w:r>
        <w:rPr>
          <w:rFonts w:ascii="Arial" w:hAnsi="Arial"/>
          <w:b w:val="0"/>
          <w:i w:val="0"/>
          <w:color w:val="000000"/>
          <w:sz w:val="22"/>
        </w:rPr>
        <w:t>findUnique</w:t>
      </w:r>
      <w:r>
        <w:rPr>
          <w:rFonts w:ascii="Arial" w:hAnsi="Arial"/>
          <w:b w:val="0"/>
          <w:i w:val="0"/>
          <w:color w:val="000000"/>
          <w:sz w:val="22"/>
        </w:rPr>
        <w:t xml:space="preserve"> where controllers call </w:t>
      </w:r>
      <w:r>
        <w:rPr>
          <w:rFonts w:ascii="Arial" w:hAnsi="Arial"/>
          <w:b w:val="0"/>
          <w:i w:val="0"/>
          <w:color w:val="000000"/>
          <w:sz w:val="22"/>
        </w:rPr>
        <w:t>findFirst</w:t>
      </w:r>
      <w:r>
        <w:rPr>
          <w:rFonts w:ascii="Arial" w:hAnsi="Arial"/>
          <w:b w:val="0"/>
          <w:i w:val="0"/>
          <w:color w:val="000000"/>
          <w:sz w:val="22"/>
        </w:rPr>
        <w:t>, and use service mocks that do not match exported classes. Fix the runner, then rewrite these tests around current contracts before treating coverage as a quality signal.</w:t>
      </w:r>
    </w:p>
    <w:p>
      <w:pPr>
        <w:pStyle w:val="Heading2"/>
      </w:pPr>
      <w:r>
        <w:rPr>
          <w:rFonts w:ascii="Arial" w:hAnsi="Arial"/>
          <w:b w:val="0"/>
          <w:i w:val="0"/>
          <w:color w:val="000000"/>
          <w:sz w:val="32"/>
        </w:rPr>
        <w:t>17. Delivery roadmap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Estimates assume two full-stack engineers with part-time product/design and QA support. They are planning ranges, not commitments.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Phase 0 — stabilize the prototype (1–2 weeks)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Fix build/type errors, UI/API route and DTO mismatches, uppercase statuses, media field names, export auth, and CSV middleware.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Patch production dependencies and add automated audit policy.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Make test runner work; repair core auth/product/category tests.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Add validated configuration, safe JWT/session secret behavior, strict CORS, health/readiness endpoints, and structured request IDs.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Add CI required checks and a minimal setup guide.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Exit:</w:t>
      </w:r>
      <w:r>
        <w:rPr>
          <w:rFonts w:ascii="Arial" w:hAnsi="Arial"/>
          <w:b w:val="0"/>
          <w:i w:val="0"/>
          <w:color w:val="000000"/>
          <w:sz w:val="22"/>
        </w:rPr>
        <w:t xml:space="preserve"> clean install, build, tests, and production audit policy pass; current primary flows work in staging.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Phase 1 — tenancy and platform foundation (2–4 weeks)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 xml:space="preserve">Add </w:t>
      </w:r>
      <w:r>
        <w:rPr>
          <w:rFonts w:ascii="Courier New" w:hAnsi="Courier New"/>
          <w:b w:val="0"/>
          <w:i w:val="0"/>
          <w:color w:val="000000"/>
          <w:sz w:val="20"/>
        </w:rPr>
        <w:t>User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0"/>
        </w:rPr>
        <w:t>Organization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0"/>
        </w:rPr>
        <w:t>Membership</w:t>
      </w:r>
      <w:r>
        <w:rPr>
          <w:rFonts w:ascii="Arial" w:hAnsi="Arial"/>
          <w:b w:val="0"/>
          <w:i w:val="0"/>
          <w:color w:val="000000"/>
          <w:sz w:val="22"/>
        </w:rPr>
        <w:t>, roles/permissions, invitations, audit events, secure sessions, password reset, email verification, and organization switcher.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Centralize service authorization and introduce RLS defense in depth.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Provision managed PostgreSQL, Redis-compatible store/queue, R2 per environment, CDN/DNS, secret manager, email, telemetry, staging, and backup policy.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Publish OpenAPI and generate the portal client.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Exit:</w:t>
      </w:r>
      <w:r>
        <w:rPr>
          <w:rFonts w:ascii="Arial" w:hAnsi="Arial"/>
          <w:b w:val="0"/>
          <w:i w:val="0"/>
          <w:color w:val="000000"/>
          <w:sz w:val="22"/>
        </w:rPr>
        <w:t xml:space="preserve"> team-based vendor account with tested isolation, secure session lifecycle, deployable infrastructure, and observable requests/jobs.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Phase 2 — catalog model and template engine (4–6 weeks)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Migrate existing products into family/variant/package, identifier, vendor entry, and revision structures.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Add global taxonomy mappings, typed attribute definitions, versioned/inherited templates, bindings, validation, and migration preview.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Build guided editor, autosave, variants, packaging, localization foundation, revision diff, and archive/restore.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Exit:</w:t>
      </w:r>
      <w:r>
        <w:rPr>
          <w:rFonts w:ascii="Arial" w:hAnsi="Arial"/>
          <w:b w:val="0"/>
          <w:i w:val="0"/>
          <w:color w:val="000000"/>
          <w:sz w:val="22"/>
        </w:rPr>
        <w:t xml:space="preserve"> representative electronics, apparel, food, and simple untyped products can be modeled without schema hacks.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Phase 3 — media, identifiers, and publication (3–5 weeks)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Ship direct R2 upload pipeline, asset processing state, image variants, ordering/primary/alt text, lifecycle cleanup.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Add identifier normalization/conflicts, GS1-aware validation, internal barcode flow, stable QR resolver, code/label downloads.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Add submission, review, feedback, approval, publication, outbox, and retailer catalog linkage.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Exit:</w:t>
      </w:r>
      <w:r>
        <w:rPr>
          <w:rFonts w:ascii="Arial" w:hAnsi="Arial"/>
          <w:b w:val="0"/>
          <w:i w:val="0"/>
          <w:color w:val="000000"/>
          <w:sz w:val="22"/>
        </w:rPr>
        <w:t xml:space="preserve"> a verified vendor can submit and publish a media-rich, identified revision; a retailer can link/pin it safely.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Phase 4 — bulk, quality, and operations (3–5 weeks)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Durable CSV/XLSX import mapping, dry run, async batches, row errors, cancel/retry, snapshot export.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Completeness rules, duplicate candidates, moderation queues, merge/alias tools, assignments/comments/notifications.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Admin tools, support runbooks, dashboards, SLO alerts, restore and queue-replay drills.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Exit:</w:t>
      </w:r>
      <w:r>
        <w:rPr>
          <w:rFonts w:ascii="Arial" w:hAnsi="Arial"/>
          <w:b w:val="0"/>
          <w:i w:val="0"/>
          <w:color w:val="000000"/>
          <w:sz w:val="22"/>
        </w:rPr>
        <w:t xml:space="preserve"> large catalogs can be onboarded and operated without direct database intervention.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Phase 5 — ecosystem and enterprise scale (4–8 weeks, demand-driven)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API credentials, signed webhooks, sandbox, ERP/PIM connector patterns, optional SFTP feeds.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Enterprise SSO/SCIM, approval policies, custom roles, contractual retention/residency controls.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Search projection/OpenSearch only if benchmarked PostgreSQL search fails targets.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Analytics warehouse/CDC only when operational queries justify it.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Exit:</w:t>
      </w:r>
      <w:r>
        <w:rPr>
          <w:rFonts w:ascii="Arial" w:hAnsi="Arial"/>
          <w:b w:val="0"/>
          <w:i w:val="0"/>
          <w:color w:val="000000"/>
          <w:sz w:val="22"/>
        </w:rPr>
        <w:t xml:space="preserve"> contracted enterprise integration and scale requirements are met with measured capacity.</w:t>
      </w:r>
    </w:p>
    <w:p>
      <w:pPr>
        <w:pStyle w:val="Heading2"/>
      </w:pPr>
      <w:r>
        <w:rPr>
          <w:rFonts w:ascii="Arial" w:hAnsi="Arial"/>
          <w:b w:val="0"/>
          <w:i w:val="0"/>
          <w:color w:val="000000"/>
          <w:sz w:val="32"/>
        </w:rPr>
        <w:t>18. Prioritized backlog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Next 48 hours of engineering work</w:t>
      </w:r>
    </w:p>
    <w:p>
      <w:pPr>
        <w:pStyle w:val="ListNumber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Create an issue for every P0 finding with a regression test and owner.</w:t>
      </w:r>
    </w:p>
    <w:p>
      <w:pPr>
        <w:pStyle w:val="ListNumber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Patch Next and production dependencies, then rerun build/audit.</w:t>
      </w:r>
    </w:p>
    <w:p>
      <w:pPr>
        <w:pStyle w:val="ListNumber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Fix both build failures and make root build required.</w:t>
      </w:r>
    </w:p>
    <w:p>
      <w:pPr>
        <w:pStyle w:val="ListNumber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Align vendor settings routes and centralize endpoint constants through a generated client plan.</w:t>
      </w:r>
    </w:p>
    <w:p>
      <w:pPr>
        <w:pStyle w:val="ListNumber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Split CSV and image middleware; fix authenticated export.</w:t>
      </w:r>
    </w:p>
    <w:p>
      <w:pPr>
        <w:pStyle w:val="ListNumber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Align statuses and media/QR response fields.</w:t>
      </w:r>
    </w:p>
    <w:p>
      <w:pPr>
        <w:pStyle w:val="ListNumber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Add category authorization checks to product create/update/import and category parent creation.</w:t>
      </w:r>
    </w:p>
    <w:p>
      <w:pPr>
        <w:pStyle w:val="ListNumber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Repair Jest configuration and the auth/product negative tenant tests.</w:t>
      </w:r>
    </w:p>
    <w:p>
      <w:pPr>
        <w:pStyle w:val="Heading3"/>
      </w:pPr>
      <w:r>
        <w:rPr>
          <w:rFonts w:ascii="Arial" w:hAnsi="Arial"/>
          <w:b w:val="0"/>
          <w:i w:val="0"/>
          <w:color w:val="434343"/>
          <w:sz w:val="28"/>
        </w:rPr>
        <w:t>Decisions to make in the first product workshop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Who may create canonical products: any vendor, verified vendors, or platform staff?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Which changes can auto-publish, and which require review?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Must vendors prove brand ownership, and in which markets?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Which verticals launch first? Their templates determine the initial attribute registry.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Will the platform issue only internal identifiers, or also integrate with GS1 member workflows?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Can retailers follow latest revisions automatically, or must they approve changes?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Required locales, markets, regulatory documents, and data residency at launch.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Expected vendors, products, variants per product, images per variant, import sizes, and daily updates.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Retention and account deletion commitments.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Enterprise SSO/SCIM timing and target ERP/PIM systems.</w:t>
      </w:r>
    </w:p>
    <w:p>
      <w:pPr>
        <w:pStyle w:val="Heading2"/>
      </w:pPr>
      <w:r>
        <w:rPr>
          <w:rFonts w:ascii="Arial" w:hAnsi="Arial"/>
          <w:b w:val="0"/>
          <w:i w:val="0"/>
          <w:color w:val="000000"/>
          <w:sz w:val="32"/>
        </w:rPr>
        <w:t>19. Success measures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Median time from verified signup to first valid submission.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First-pass publication approval rate and median review turnaround.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Percentage of published variants with verified identifiers, required attributes, primary image, and alt text.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Import success rate, row correction rate, and time to complete by catalog size.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Duplicate/conflict rate and false-positive merge suggestion rate.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Retailer match/adoption rate for published products.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Cross-tenant authorization test pass rate and security incident count.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Build/test/deploy success, API/job SLO attainment, and restore drill success.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Vendor weekly active users and editor task completion/drop-off by step.</w:t>
      </w:r>
    </w:p>
    <w:p>
      <w:pPr>
        <w:pStyle w:val="Heading2"/>
      </w:pPr>
      <w:r>
        <w:rPr>
          <w:rFonts w:ascii="Arial" w:hAnsi="Arial"/>
          <w:b w:val="0"/>
          <w:i w:val="0"/>
          <w:color w:val="000000"/>
          <w:sz w:val="32"/>
        </w:rPr>
        <w:t>20. Risks and mitigations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Borders>
          <w:top w:val="single" w:sz="2" w:space="0" w:color="DADCE0"/>
          <w:left w:val="single" w:sz="2" w:space="0" w:color="DADCE0"/>
          <w:bottom w:val="single" w:sz="2" w:space="0" w:color="DADCE0"/>
          <w:right w:val="single" w:sz="2" w:space="0" w:color="DADCE0"/>
          <w:insideH w:val="single" w:sz="2" w:space="0" w:color="DADCE0"/>
          <w:insideV w:val="single" w:sz="2" w:space="0" w:color="DADCE0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Risk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</w:r>
            <w:r>
              <w:rPr>
                <w:rFonts w:ascii="Arial" w:hAnsi="Arial"/>
                <w:b/>
                <w:i w:val="0"/>
                <w:color w:val="000000"/>
                <w:sz w:val="18"/>
              </w:rPr>
              <w:t>Mitigation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The global library becomes duplicate vendor catalogs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Canonical identity plus vendor entries, governed identifiers, review, merge/aliases, and provenance.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Templates become an unsearchable schema-free bucket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Typed stable definitions, versioning, governed system namespace, validation, and selected indexed projections.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Enterprise complexity harms small vendors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Progressive editor, sensible templates/defaults, optional advanced sections, spreadsheet import, and role features hidden until needed.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Barcode generation creates invalid claims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Separate internal codes from GS1 identifiers; validate check digits and ownership state; never invent a GS1 prefix.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Media cost/abuse grows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Direct size/type policy, fixed transformations, quotas, lifecycle cleanup, caching, moderation, and usage alerts.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Async jobs duplicate side effects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Idempotency keys, unique job/row constraints, outbox, attempt history, and dead-letter tooling.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Vendor changes break retailer operations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Immutable published revisions, retailer pin/follow policy, explicit events, and no inventory mutation from catalog publication.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Premature infrastructure slows delivery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before="0" w:after="60" w:line="252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</w: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Modular monolith, PostgreSQL search first, managed primitives, adapters at external boundaries, and evidence-based extraction.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/>
          <w:b w:val="0"/>
          <w:i w:val="0"/>
          <w:color w:val="000000"/>
          <w:sz w:val="32"/>
        </w:rPr>
        <w:t>21. Reference standards and primary documentation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[GS1 identification keys and company prefixes](https://www.gs1.org/standards/id-keys)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[GS1 GTIN overview](https://www.gs1.org/standards/id-keys/gtin)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[GS1 Digital Link standard](https://ref.gs1.org/standards/digital-link/)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[Cloudflare R2 presigned URLs](https://developers.cloudflare.com/r2/api/s3/presigned-urls/)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[Cloudflare R2 custom-domain caching](https://developers.cloudflare.com/cache/interaction-cloudflare-products/r2/)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[Cloudflare Images transformations](https://developers.cloudflare.com/images/optimization/transformations/overview/)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[Cloudflare R2 event notifications](https://developers.cloudflare.com/r2/buckets/event-notifications/)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[Cloudflare R2 object lifecycles](https://developers.cloudflare.com/r2/buckets/object-lifecycles/)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[PostgreSQL row security policies](https://www.postgresql.org/docs/current/ddl-rowsecurity.html)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[PostgreSQL JSONB and indexing](https://www.postgresql.org/docs/current/datatype-json.html)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[PostgreSQL trigram search](https://www.postgresql.org/docs/current/pgtrgm.html)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[OWASP session management guidance](https://cheatsheetseries.owasp.org/cheatsheets/Session_Management_Cheat_Sheet.html)</w:t>
      </w:r>
    </w:p>
    <w:p>
      <w:pPr>
        <w:pStyle w:val="ListBullet"/>
        <w:spacing w:after="80" w:line="276" w:lineRule="auto"/>
        <w:ind w:left="720" w:hanging="360"/>
      </w:pPr>
      <w:r>
        <w:rPr>
          <w:rFonts w:ascii="Arial" w:hAnsi="Arial"/>
          <w:b w:val="0"/>
          <w:i w:val="0"/>
          <w:color w:val="000000"/>
          <w:sz w:val="22"/>
        </w:rPr>
        <w:t>[OpenAPI Specification](https://spec.openapis.org/oas/latest.html)</w:t>
      </w:r>
    </w:p>
    <w:p>
      <w:pPr>
        <w:pStyle w:val="Heading2"/>
      </w:pPr>
      <w:r>
        <w:rPr>
          <w:rFonts w:ascii="Arial" w:hAnsi="Arial"/>
          <w:b w:val="0"/>
          <w:i w:val="0"/>
          <w:color w:val="000000"/>
          <w:sz w:val="32"/>
        </w:rPr>
        <w:t>22. Recommended decision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 xml:space="preserve">Approve Phase 0 and Phase 1 before expanding the current </w:t>
      </w:r>
      <w:r>
        <w:rPr>
          <w:rFonts w:ascii="Arial" w:hAnsi="Arial"/>
          <w:b w:val="0"/>
          <w:i w:val="0"/>
          <w:color w:val="000000"/>
          <w:sz w:val="22"/>
        </w:rPr>
        <w:t>Product</w:t>
      </w:r>
      <w:r>
        <w:rPr>
          <w:rFonts w:ascii="Arial" w:hAnsi="Arial"/>
          <w:b w:val="0"/>
          <w:i w:val="0"/>
          <w:color w:val="000000"/>
          <w:sz w:val="22"/>
        </w:rPr>
        <w:t xml:space="preserve"> and </w:t>
      </w:r>
      <w:r>
        <w:rPr>
          <w:rFonts w:ascii="Arial" w:hAnsi="Arial"/>
          <w:b w:val="0"/>
          <w:i w:val="0"/>
          <w:color w:val="000000"/>
          <w:sz w:val="22"/>
        </w:rPr>
        <w:t>CharacteristicTemplate</w:t>
      </w:r>
      <w:r>
        <w:rPr>
          <w:rFonts w:ascii="Arial" w:hAnsi="Arial"/>
          <w:b w:val="0"/>
          <w:i w:val="0"/>
          <w:color w:val="000000"/>
          <w:sz w:val="22"/>
        </w:rPr>
        <w:t xml:space="preserve"> tables. In parallel, hold the product workshop decisions listed above and model four representative verticals. That sequence produces a secure, deployable foundation and validates the catalog/template model before migrations make it expensive to change.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 w:line="276" w:lineRule="auto"/>
      <w:outlineLvl w:val="0"/>
    </w:pPr>
    <w:rPr>
      <w:rFonts w:asciiTheme="majorHAnsi" w:eastAsiaTheme="majorEastAsia" w:hAnsiTheme="majorHAnsi" w:cstheme="majorBidi" w:ascii="Arial" w:hAnsi="Arial"/>
      <w:b w:val="0"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="276" w:lineRule="auto"/>
      <w:outlineLvl w:val="1"/>
    </w:pPr>
    <w:rPr>
      <w:rFonts w:asciiTheme="majorHAnsi" w:eastAsiaTheme="majorEastAsia" w:hAnsiTheme="majorHAnsi" w:cstheme="majorBidi" w:ascii="Arial" w:hAnsi="Arial"/>
      <w:b w:val="0"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 w:line="276" w:lineRule="auto"/>
      <w:outlineLvl w:val="2"/>
    </w:pPr>
    <w:rPr>
      <w:rFonts w:asciiTheme="majorHAnsi" w:eastAsiaTheme="majorEastAsia" w:hAnsiTheme="majorHAnsi" w:cstheme="majorBidi" w:ascii="Arial" w:hAnsi="Arial"/>
      <w:b w:val="0"/>
      <w:bCs/>
      <w:color w:val="43434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720" w:hanging="360"/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720" w:hanging="360"/>
      <w:contextualSpacing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Vendor Portal Implementation Blueprint</dc:title>
  <dc:subject>Google Docs-ready implementation plan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