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Справка для преподавателя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ГАПОУ ИО «ИТК», 38.02.08 «Торговое дело», группа 69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26"/>
        </w:rPr>
        <w:t>Два отдельных выступления, не парный доклад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«____» сентября 2026 г.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Важно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Харитонов Н. В. и Карнаухова Т. П. выступают каждый со своей темой. Это не диалог и не смена голосов на одной сцене. У каждого свой текст, свои слайды, свои вопросы.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Доклад 1. Харитонов Никита Васильевич — тема 16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Для зала: «Иногда улица уже забита.»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Тезис. Даже верный расчёт чеков не спасает, если вошли последними в полный вагон.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Ось: вход последним на уже занятую улицу / в выдачу маркетплейса. Учебная модель 400 стаканов — не полевые данные Иркутска.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Доклад 2. Карнаухова Таисья Петровна — тема 18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Для зала: «Иногда человека съедает дом.»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Тезис. Дело иногда закрывают до удара рынка: у бизнеса обрезки времени, у дома — полный день.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Ось: семья и быт, вторая смена, закрытие ИП «чтобы сохранить мир». Не «девушки не созданы для бизнеса». Часы, не характер.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Общее для обоих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Закрытие ≠ провал. Цифра «80% в первый год» произносится как миф, не как факт.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Точка Банк / ТАСС, 26.05.2026: из открытых в 2022 к концу 2025 живы ≈ 50%.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У Таисьи дополнительно Росстат, бюджет времени 2019: женщины &gt; 4 ч/сутки на дом и уход, мужчины &lt; 2 ч. Год называют вслух.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Что не утверждаем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Что улица или семья — главная статистическая причина закрытий в РФ. Что 130-й квартал “убил N точек”. Что счёт 400 стаканов — полевые данные. Что женщины “не созданы для бизнеса”. Проценты CB Insights, SCORE, Вассермана.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Метод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Открытые источники + учебные сцены. Не полевое исследование группы. Темы 16 и 18 выбраны как человеческие оси для устного жанра.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Источники и оговорки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Закрытие записи в реестре не равно провалу живого дела. Тема доклада — механизм и сцены, не рейтинг причин по официальной статистике.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Цифры, которые сознательно НЕ произносим как факт: «80% в первый год»; «75% ООО / 65% ИП через год»; «82% из-за cash flow»; проценты CB Insights и Вассермана как будто про ИП в Иркутске.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BLS, Establishment Age and Survival / TED. когорты новых заведений США; первый год ≈ каждый пятый исчезает; это заведения, не «прогоревшие фирмы» Дата обращения: 13.09.2026. https://www.bls.gov/bdm/bdmage.htm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ТАСС, 26.05.2026, исследование «Точка банка». из открытых в 2022 к концу 2025 живы ≈ 50%; из открытых в 2020 через 5 лет ≈ 42% Дата обращения: 13.09.2026. https://news.mail.ru/economics/71021631/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«Коммерсантъ», 26.05.2026, то же исследование Точки. подтверждение порядка цифр 50% / 42% Дата обращения: 13.09.2026. https://www.kommersant.ru/doc/8690067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FinExpertiza по данным ФНС, 2025 (Известия / Frank Media). около 88% ликвидаций юрлиц — исключение налоговой; не путать с живым ИП Дата обращения: 13.09.2026. https://frankmedia.ru/258162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2ГИС / «Коммерсантъ» о рынке кофеен. плотность и смена форматов общепита; не цифра «закрытий в Иркутске» Дата обращения: 13.09.2026. https://www.kommersant.ru/doc/8361125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Материалы о конкуренции одинаковых карточек на маркетплейсах. новички часто не считают прибыль, конкурируют скидкой Дата обращения: 13.09.2026. https://www.moysklad.ru/poleznoe/marketplejsy/vse-ottenki-serogo-na-chto-idut-prodavtsy-v-borbe-za-pokupateley-na-marketpleysakh/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Росстат, Выборочное наблюдение использования суточного фонда времени, 2019. женщины ≈ 18% суток на дом и уход (больше 4 часов), мужчины ≈ 7,8% (меньше 2 часов) Дата обращения: 13.09.2026. https://rosstat.gov.ru/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РБК Тренды / Tochno.st о неоплачиваемом домашнем труде. «вторая смена»; механизм нехватки часов, не доля закрытий бизнеса Дата обращения: 13.09.2026. https://trends.rbc.ru/trends/social/62ac242b9a79478caa687c8f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333333"/>
        <w:sz w:val="18"/>
      </w:rPr>
      <w:t xml:space="preserve">не читать с листа целиком — это страховка   ·   </w:t>
    </w:r>
    <w:r>
      <w:rPr>
        <w:rFonts w:ascii="Arial" w:hAnsi="Arial" w:eastAsia="Arial"/>
        <w:b w:val="0"/>
        <w:color w:val="111111"/>
        <w:sz w:val="18"/>
      </w:rPr>
      <w:fldChar w:fldCharType="begin"/>
    </w:r>
    <w:r>
      <w:rPr>
        <w:rFonts w:ascii="Arial" w:hAnsi="Arial" w:eastAsia="Arial"/>
        <w:b w:val="0"/>
        <w:color w:val="111111"/>
        <w:sz w:val="18"/>
      </w:rPr>
      <w:instrText xml:space="preserve"> PAGE </w:instrText>
    </w:r>
    <w:r>
      <w:rPr>
        <w:rFonts w:ascii="Arial" w:hAnsi="Arial" w:eastAsia="Arial"/>
        <w:b w:val="0"/>
        <w:color w:val="111111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333333"/>
        <w:sz w:val="18"/>
      </w:rPr>
      <w:t>Справка для преподавателя  ·  группа 69  ·  ИТК  ·  два отдельных доклада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jc w:val="left"/>
    </w:pPr>
    <w:rPr>
      <w:rFonts w:ascii="Arial" w:hAnsi="Arial" w:eastAsia="Arial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