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0" w:right="462" w:firstLine="0"/>
        <w:jc w:val="right"/>
        <w:rPr>
          <w:sz w:val="22"/>
        </w:rPr>
      </w:pPr>
      <w:r>
        <w:rPr/>
        <w:pict>
          <v:rect style="position:absolute;margin-left:0pt;margin-top:126.550003pt;width:612pt;height:5.75pt;mso-position-horizontal-relative:page;mso-position-vertical-relative:page;z-index:-15804928" filled="true" fillcolor="#ff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884655</wp:posOffset>
            </wp:positionH>
            <wp:positionV relativeFrom="paragraph">
              <wp:posOffset>152079</wp:posOffset>
            </wp:positionV>
            <wp:extent cx="1328717" cy="45342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17" cy="453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22"/>
        </w:rPr>
        <w:t>academy.oracle.com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spacing w:before="87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Programação de Banco de Dados com SQL</w:t>
      </w:r>
    </w:p>
    <w:p>
      <w:pPr>
        <w:pStyle w:val="ListParagraph"/>
        <w:numPr>
          <w:ilvl w:val="1"/>
          <w:numId w:val="1"/>
        </w:numPr>
        <w:tabs>
          <w:tab w:pos="875" w:val="left" w:leader="none"/>
        </w:tabs>
        <w:spacing w:line="364" w:lineRule="auto" w:before="0" w:after="0"/>
        <w:ind w:left="234" w:right="5056" w:hanging="1"/>
        <w:jc w:val="left"/>
        <w:rPr>
          <w:sz w:val="32"/>
        </w:rPr>
      </w:pPr>
      <w:r>
        <w:rPr>
          <w:sz w:val="32"/>
        </w:rPr>
        <w:t>: Fundamentos de</w:t>
      </w:r>
      <w:r>
        <w:rPr>
          <w:spacing w:val="-14"/>
          <w:sz w:val="32"/>
        </w:rPr>
        <w:t> </w:t>
      </w:r>
      <w:r>
        <w:rPr>
          <w:sz w:val="32"/>
        </w:rPr>
        <w:t>Subconsultas Atividades</w:t>
      </w:r>
      <w:r>
        <w:rPr>
          <w:spacing w:val="-1"/>
          <w:sz w:val="32"/>
        </w:rPr>
        <w:t> </w:t>
      </w:r>
      <w:r>
        <w:rPr>
          <w:sz w:val="32"/>
        </w:rPr>
        <w:t>Práticas</w:t>
      </w:r>
    </w:p>
    <w:p>
      <w:pPr>
        <w:pStyle w:val="Heading2"/>
        <w:spacing w:line="318" w:lineRule="exact"/>
      </w:pPr>
      <w:bookmarkStart w:name="Objetivos" w:id="1"/>
      <w:bookmarkEnd w:id="1"/>
      <w:r>
        <w:rPr/>
      </w:r>
      <w:r>
        <w:rPr/>
        <w:t>Objetivos</w:t>
      </w:r>
    </w:p>
    <w:p>
      <w:pPr>
        <w:pStyle w:val="ListParagraph"/>
        <w:numPr>
          <w:ilvl w:val="2"/>
          <w:numId w:val="1"/>
        </w:numPr>
        <w:tabs>
          <w:tab w:pos="953" w:val="left" w:leader="none"/>
          <w:tab w:pos="954" w:val="left" w:leader="none"/>
        </w:tabs>
        <w:spacing w:line="293" w:lineRule="exact" w:before="0" w:after="0"/>
        <w:ind w:left="954" w:right="0" w:hanging="360"/>
        <w:jc w:val="left"/>
        <w:rPr>
          <w:sz w:val="24"/>
        </w:rPr>
      </w:pPr>
      <w:r>
        <w:rPr>
          <w:sz w:val="24"/>
        </w:rPr>
        <w:t>Definir e explicar a finalidade das subconsultas para recuperar</w:t>
      </w:r>
      <w:r>
        <w:rPr>
          <w:spacing w:val="-6"/>
          <w:sz w:val="24"/>
        </w:rPr>
        <w:t> </w:t>
      </w:r>
      <w:r>
        <w:rPr>
          <w:sz w:val="24"/>
        </w:rPr>
        <w:t>dados</w:t>
      </w:r>
    </w:p>
    <w:p>
      <w:pPr>
        <w:pStyle w:val="ListParagraph"/>
        <w:numPr>
          <w:ilvl w:val="2"/>
          <w:numId w:val="1"/>
        </w:numPr>
        <w:tabs>
          <w:tab w:pos="953" w:val="left" w:leader="none"/>
          <w:tab w:pos="954" w:val="left" w:leader="none"/>
        </w:tabs>
        <w:spacing w:line="292" w:lineRule="exact" w:before="0" w:after="0"/>
        <w:ind w:left="954" w:right="0" w:hanging="360"/>
        <w:jc w:val="left"/>
        <w:rPr>
          <w:sz w:val="24"/>
        </w:rPr>
      </w:pPr>
      <w:r>
        <w:rPr>
          <w:sz w:val="24"/>
        </w:rPr>
        <w:t>Criar e executar uma subconsulta de uma única linha na cláusula</w:t>
      </w:r>
      <w:r>
        <w:rPr>
          <w:spacing w:val="-9"/>
          <w:sz w:val="24"/>
        </w:rPr>
        <w:t> </w:t>
      </w:r>
      <w:r>
        <w:rPr>
          <w:sz w:val="24"/>
        </w:rPr>
        <w:t>WHERE</w:t>
      </w:r>
    </w:p>
    <w:p>
      <w:pPr>
        <w:pStyle w:val="ListParagraph"/>
        <w:numPr>
          <w:ilvl w:val="2"/>
          <w:numId w:val="1"/>
        </w:numPr>
        <w:tabs>
          <w:tab w:pos="953" w:val="left" w:leader="none"/>
          <w:tab w:pos="954" w:val="left" w:leader="none"/>
        </w:tabs>
        <w:spacing w:line="293" w:lineRule="exact" w:before="0" w:after="0"/>
        <w:ind w:left="954" w:right="0" w:hanging="360"/>
        <w:jc w:val="left"/>
        <w:rPr>
          <w:sz w:val="24"/>
        </w:rPr>
      </w:pPr>
      <w:r>
        <w:rPr>
          <w:sz w:val="24"/>
        </w:rPr>
        <w:t>Fazer distinção entre subconsultas de uma única linha e de várias</w:t>
      </w:r>
      <w:r>
        <w:rPr>
          <w:spacing w:val="-9"/>
          <w:sz w:val="24"/>
        </w:rPr>
        <w:t> </w:t>
      </w:r>
      <w:r>
        <w:rPr>
          <w:sz w:val="24"/>
        </w:rPr>
        <w:t>linhas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</w:pPr>
      <w:bookmarkStart w:name="Vocabulário" w:id="2"/>
      <w:bookmarkEnd w:id="2"/>
      <w:r>
        <w:rPr/>
      </w:r>
      <w:r>
        <w:rPr/>
        <w:t>Vocabulário</w:t>
      </w:r>
    </w:p>
    <w:p>
      <w:pPr>
        <w:pStyle w:val="BodyText"/>
        <w:ind w:left="234"/>
      </w:pPr>
      <w:r>
        <w:rPr/>
        <w:t>Identifique a palavra do vocabulário correspondente a cada definição a seguir.</w:t>
      </w: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7200"/>
      </w:tblGrid>
      <w:tr>
        <w:trPr>
          <w:trHeight w:val="551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line="270" w:lineRule="atLeast"/>
              <w:ind w:left="130" w:right="279" w:hanging="16"/>
              <w:rPr>
                <w:sz w:val="24"/>
              </w:rPr>
            </w:pPr>
            <w:r>
              <w:rPr>
                <w:sz w:val="24"/>
              </w:rPr>
              <w:t>Aceita um valor da consulta interna para completar a respectiva instrução SELECT.</w:t>
            </w:r>
          </w:p>
        </w:tc>
      </w:tr>
      <w:tr>
        <w:trPr>
          <w:trHeight w:val="827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before="1"/>
              <w:ind w:left="115" w:right="611"/>
              <w:rPr>
                <w:sz w:val="24"/>
              </w:rPr>
            </w:pPr>
            <w:r>
              <w:rPr>
                <w:sz w:val="24"/>
              </w:rPr>
              <w:t>Uma consulta interna que retorna uma ou mais linhas para a consulta externa.</w:t>
            </w:r>
          </w:p>
        </w:tc>
      </w:tr>
      <w:tr>
        <w:trPr>
          <w:trHeight w:val="552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Uma consulta interna que é aninhada em uma consulta externa.</w:t>
            </w:r>
          </w:p>
        </w:tc>
      </w:tr>
      <w:tr>
        <w:trPr>
          <w:trHeight w:val="827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ind w:left="115" w:right="531"/>
              <w:rPr>
                <w:sz w:val="24"/>
              </w:rPr>
            </w:pPr>
            <w:r>
              <w:rPr>
                <w:sz w:val="24"/>
              </w:rPr>
              <w:t>Uma consulta interna que compara várias colunas ao mesmo tempo.</w:t>
            </w:r>
          </w:p>
        </w:tc>
      </w:tr>
      <w:tr>
        <w:trPr>
          <w:trHeight w:val="827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ind w:left="115" w:right="651"/>
              <w:rPr>
                <w:sz w:val="24"/>
              </w:rPr>
            </w:pPr>
            <w:r>
              <w:rPr>
                <w:sz w:val="24"/>
              </w:rPr>
              <w:t>Uma consulta interna que retorna somente uma linha para a consulta externa.</w:t>
            </w:r>
          </w:p>
        </w:tc>
      </w:tr>
      <w:tr>
        <w:trPr>
          <w:trHeight w:val="552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line="270" w:lineRule="atLeast" w:before="1"/>
              <w:ind w:left="115" w:right="344"/>
              <w:rPr>
                <w:sz w:val="24"/>
              </w:rPr>
            </w:pPr>
            <w:r>
              <w:rPr>
                <w:sz w:val="24"/>
              </w:rPr>
              <w:t>Uma consulta interna que compara as diversas colunas, uma a uma, em subconsultas diferentes.</w:t>
            </w:r>
          </w:p>
        </w:tc>
      </w:tr>
      <w:tr>
        <w:trPr>
          <w:trHeight w:val="551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Outro nome dado a uma subconsulta.</w:t>
            </w:r>
          </w:p>
        </w:tc>
      </w:tr>
    </w:tbl>
    <w:p>
      <w:pPr>
        <w:pStyle w:val="BodyText"/>
        <w:spacing w:before="1"/>
        <w:rPr>
          <w:sz w:val="28"/>
        </w:rPr>
      </w:pPr>
    </w:p>
    <w:p>
      <w:pPr>
        <w:pStyle w:val="Heading2"/>
      </w:pPr>
      <w:bookmarkStart w:name="Tente/solucione" w:id="3"/>
      <w:bookmarkEnd w:id="3"/>
      <w:r>
        <w:rPr/>
      </w:r>
      <w:r>
        <w:rPr/>
        <w:t>Tente/solucione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40" w:lineRule="auto" w:before="0" w:after="0"/>
        <w:ind w:left="594" w:right="0" w:hanging="360"/>
        <w:jc w:val="left"/>
        <w:rPr>
          <w:sz w:val="24"/>
        </w:rPr>
      </w:pPr>
      <w:r>
        <w:rPr>
          <w:sz w:val="24"/>
        </w:rPr>
        <w:t>Qual é a finalidade de usar uma subconsulta?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40" w:lineRule="auto" w:before="0" w:after="0"/>
        <w:ind w:left="594" w:right="0" w:hanging="360"/>
        <w:jc w:val="left"/>
        <w:rPr>
          <w:sz w:val="24"/>
        </w:rPr>
      </w:pPr>
      <w:r>
        <w:rPr>
          <w:sz w:val="24"/>
        </w:rPr>
        <w:t>O que é uma subconsulta?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40" w:lineRule="auto" w:before="0" w:after="0"/>
        <w:ind w:left="593" w:right="694" w:hanging="360"/>
        <w:jc w:val="left"/>
        <w:rPr>
          <w:sz w:val="24"/>
        </w:rPr>
      </w:pPr>
      <w:r>
        <w:rPr>
          <w:sz w:val="24"/>
        </w:rPr>
        <w:t>Quais song_ids da tabela d_play_list_items da DJs on Demand têm o mesmo</w:t>
      </w:r>
      <w:r>
        <w:rPr>
          <w:spacing w:val="-39"/>
          <w:sz w:val="24"/>
        </w:rPr>
        <w:t> </w:t>
      </w:r>
      <w:r>
        <w:rPr>
          <w:sz w:val="24"/>
        </w:rPr>
        <w:t>event_id que song_id</w:t>
      </w:r>
      <w:r>
        <w:rPr>
          <w:spacing w:val="-1"/>
          <w:sz w:val="24"/>
        </w:rPr>
        <w:t> </w:t>
      </w:r>
      <w:r>
        <w:rPr>
          <w:sz w:val="24"/>
        </w:rPr>
        <w:t>45?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942" w:top="1100" w:bottom="1140" w:left="900" w:right="820"/>
        </w:sectPr>
      </w:pPr>
    </w:p>
    <w:p>
      <w:pPr>
        <w:spacing w:before="40"/>
        <w:ind w:left="0" w:right="312" w:firstLine="0"/>
        <w:jc w:val="right"/>
        <w:rPr>
          <w:rFonts w:ascii="Carlito"/>
          <w:sz w:val="22"/>
        </w:rPr>
      </w:pPr>
      <w:r>
        <w:rPr>
          <w:rFonts w:ascii="Carlito"/>
          <w:w w:val="99"/>
          <w:sz w:val="22"/>
        </w:rPr>
        <w:t>2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10"/>
        <w:rPr>
          <w:rFonts w:ascii="Carlito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40" w:lineRule="auto" w:before="92" w:after="0"/>
        <w:ind w:left="594" w:right="565" w:hanging="360"/>
        <w:jc w:val="left"/>
        <w:rPr>
          <w:sz w:val="24"/>
        </w:rPr>
      </w:pPr>
      <w:r>
        <w:rPr>
          <w:sz w:val="24"/>
        </w:rPr>
        <w:t>Quais eventos do banco de dados da DJs on Demand custam mais do que o event_id</w:t>
      </w:r>
      <w:r>
        <w:rPr>
          <w:spacing w:val="-34"/>
          <w:sz w:val="24"/>
        </w:rPr>
        <w:t> </w:t>
      </w:r>
      <w:r>
        <w:rPr>
          <w:sz w:val="24"/>
        </w:rPr>
        <w:t>= 100?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40" w:lineRule="auto" w:before="0" w:after="0"/>
        <w:ind w:left="593" w:right="333" w:hanging="360"/>
        <w:jc w:val="left"/>
        <w:rPr>
          <w:sz w:val="24"/>
        </w:rPr>
      </w:pPr>
      <w:r>
        <w:rPr>
          <w:sz w:val="24"/>
        </w:rPr>
        <w:t>Encontre o número da faixa da música que tem o mesmo número de CD que “Party</w:t>
      </w:r>
      <w:r>
        <w:rPr>
          <w:spacing w:val="-34"/>
          <w:sz w:val="24"/>
        </w:rPr>
        <w:t> </w:t>
      </w:r>
      <w:r>
        <w:rPr>
          <w:sz w:val="24"/>
        </w:rPr>
        <w:t>Music for All</w:t>
      </w:r>
      <w:r>
        <w:rPr>
          <w:spacing w:val="-14"/>
          <w:sz w:val="24"/>
        </w:rPr>
        <w:t> </w:t>
      </w:r>
      <w:r>
        <w:rPr>
          <w:sz w:val="24"/>
        </w:rPr>
        <w:t>Occasions”.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40" w:lineRule="auto" w:before="0" w:after="0"/>
        <w:ind w:left="594" w:right="0" w:hanging="361"/>
        <w:jc w:val="left"/>
        <w:rPr>
          <w:sz w:val="24"/>
        </w:rPr>
      </w:pPr>
      <w:r>
        <w:rPr>
          <w:sz w:val="24"/>
        </w:rPr>
        <w:t>Liste os eventos da DJs on Demand cujo tema tem o mesmo código que</w:t>
      </w:r>
      <w:r>
        <w:rPr>
          <w:spacing w:val="-21"/>
          <w:sz w:val="24"/>
        </w:rPr>
        <w:t> </w:t>
      </w:r>
      <w:r>
        <w:rPr>
          <w:sz w:val="24"/>
        </w:rPr>
        <w:t>“Tropical”.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40" w:lineRule="auto" w:before="1" w:after="0"/>
        <w:ind w:left="593" w:right="523" w:hanging="360"/>
        <w:jc w:val="left"/>
        <w:rPr>
          <w:sz w:val="24"/>
        </w:rPr>
      </w:pPr>
      <w:r>
        <w:rPr>
          <w:sz w:val="24"/>
        </w:rPr>
        <w:t>Quais são os nomes dos membros das equipes da Global Fast Foods cujos salários</w:t>
      </w:r>
      <w:r>
        <w:rPr>
          <w:spacing w:val="-42"/>
          <w:sz w:val="24"/>
        </w:rPr>
        <w:t> </w:t>
      </w:r>
      <w:r>
        <w:rPr>
          <w:sz w:val="24"/>
        </w:rPr>
        <w:t>são maiores que o do membro com ID</w:t>
      </w:r>
      <w:r>
        <w:rPr>
          <w:spacing w:val="-3"/>
          <w:sz w:val="24"/>
        </w:rPr>
        <w:t> </w:t>
      </w:r>
      <w:r>
        <w:rPr>
          <w:sz w:val="24"/>
        </w:rPr>
        <w:t>12?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40" w:lineRule="auto" w:before="0" w:after="0"/>
        <w:ind w:left="593" w:right="507" w:hanging="360"/>
        <w:jc w:val="left"/>
        <w:rPr>
          <w:sz w:val="24"/>
        </w:rPr>
      </w:pPr>
      <w:r>
        <w:rPr>
          <w:sz w:val="24"/>
        </w:rPr>
        <w:t>Quais são os nomes dos membros das equipes da Global Fast Foods cujas equipes</w:t>
      </w:r>
      <w:r>
        <w:rPr>
          <w:spacing w:val="-41"/>
          <w:sz w:val="24"/>
        </w:rPr>
        <w:t> </w:t>
      </w:r>
      <w:r>
        <w:rPr>
          <w:sz w:val="24"/>
        </w:rPr>
        <w:t>são de um tipo diferente da de Bob</w:t>
      </w:r>
      <w:r>
        <w:rPr>
          <w:spacing w:val="-2"/>
          <w:sz w:val="24"/>
        </w:rPr>
        <w:t> </w:t>
      </w:r>
      <w:r>
        <w:rPr>
          <w:sz w:val="24"/>
        </w:rPr>
        <w:t>Miller?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40" w:lineRule="auto" w:before="0" w:after="0"/>
        <w:ind w:left="593" w:right="571" w:hanging="360"/>
        <w:jc w:val="left"/>
        <w:rPr>
          <w:sz w:val="24"/>
        </w:rPr>
      </w:pPr>
      <w:r>
        <w:rPr>
          <w:sz w:val="24"/>
        </w:rPr>
        <w:t>Quais funcionários da Oracle têm o mesmo ID de departamento que o departamento de TI?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40" w:lineRule="auto" w:before="0" w:after="0"/>
        <w:ind w:left="593" w:right="853" w:hanging="360"/>
        <w:jc w:val="left"/>
        <w:rPr>
          <w:sz w:val="24"/>
        </w:rPr>
      </w:pPr>
      <w:r>
        <w:rPr>
          <w:sz w:val="24"/>
        </w:rPr>
        <w:t>Quais são os nomes dos departamentos da Oracle que têm o mesmo ID de local</w:t>
      </w:r>
      <w:r>
        <w:rPr>
          <w:spacing w:val="-34"/>
          <w:sz w:val="24"/>
        </w:rPr>
        <w:t> </w:t>
      </w:r>
      <w:r>
        <w:rPr>
          <w:sz w:val="24"/>
        </w:rPr>
        <w:t>que Seattle?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40" w:lineRule="auto" w:before="0" w:after="0"/>
        <w:ind w:left="594" w:right="0" w:hanging="361"/>
        <w:jc w:val="left"/>
        <w:rPr>
          <w:sz w:val="24"/>
        </w:rPr>
      </w:pPr>
      <w:r>
        <w:rPr>
          <w:sz w:val="24"/>
        </w:rPr>
        <w:t>Indique se as afirmativas sobre subconsultas são Verdadeiras ou</w:t>
      </w:r>
      <w:r>
        <w:rPr>
          <w:spacing w:val="-10"/>
          <w:sz w:val="24"/>
        </w:rPr>
        <w:t> </w:t>
      </w:r>
      <w:r>
        <w:rPr>
          <w:sz w:val="24"/>
        </w:rPr>
        <w:t>Falsas.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954" w:val="left" w:leader="none"/>
        </w:tabs>
        <w:spacing w:line="240" w:lineRule="auto" w:before="0" w:after="0"/>
        <w:ind w:left="953" w:right="491" w:hanging="360"/>
        <w:jc w:val="left"/>
        <w:rPr>
          <w:sz w:val="24"/>
        </w:rPr>
      </w:pPr>
      <w:r>
        <w:rPr>
          <w:sz w:val="24"/>
        </w:rPr>
        <w:t>Uma prática adequada de programação é colocar uma subconsulta do lado direito do operador de comparação.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954" w:val="left" w:leader="none"/>
        </w:tabs>
        <w:spacing w:line="240" w:lineRule="auto" w:before="1" w:after="0"/>
        <w:ind w:left="953" w:right="506" w:hanging="360"/>
        <w:jc w:val="left"/>
        <w:rPr>
          <w:sz w:val="24"/>
        </w:rPr>
      </w:pPr>
      <w:r>
        <w:rPr>
          <w:sz w:val="24"/>
        </w:rPr>
        <w:t>Uma subconsulta pode fazer referência a uma tabela não incluída na cláusula</w:t>
      </w:r>
      <w:r>
        <w:rPr>
          <w:spacing w:val="-34"/>
          <w:sz w:val="24"/>
        </w:rPr>
        <w:t> </w:t>
      </w:r>
      <w:r>
        <w:rPr>
          <w:sz w:val="24"/>
        </w:rPr>
        <w:t>FROM da consulta externa.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54" w:val="left" w:leader="none"/>
        </w:tabs>
        <w:spacing w:line="240" w:lineRule="auto" w:before="0" w:after="0"/>
        <w:ind w:left="953" w:right="771" w:hanging="360"/>
        <w:jc w:val="left"/>
        <w:rPr>
          <w:sz w:val="24"/>
        </w:rPr>
      </w:pPr>
      <w:r>
        <w:rPr>
          <w:sz w:val="24"/>
        </w:rPr>
        <w:t>As subconsultas de uma única linha podem retornar vários valores para a consulta externa.</w:t>
      </w:r>
    </w:p>
    <w:sectPr>
      <w:pgSz w:w="12240" w:h="15840"/>
      <w:pgMar w:header="0" w:footer="942" w:top="680" w:bottom="1160" w:left="9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00001pt;margin-top:732.648376pt;width:500.3pt;height:17pt;mso-position-horizontal-relative:page;mso-position-vertical-relative:page;z-index:-15804928" type="#_x0000_t202" filled="false" stroked="false">
          <v:textbox inset="0,0,0,0">
            <w:txbxContent>
              <w:p>
                <w:pPr>
                  <w:spacing w:line="288" w:lineRule="auto" w:before="16"/>
                  <w:ind w:left="20" w:right="-14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Copyright © 2019, Oracle e/ou suas empresas afiliadas. Todos os direitos reservados. Oracle e Java são marcas comerciais registradas da Oracle e/ou de suas empresas afiliadas. Outros nomes podem ser marcas comerciais de seus respectivos proprietários.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94" w:hanging="360"/>
        <w:jc w:val="left"/>
      </w:pPr>
      <w:rPr>
        <w:rFonts w:hint="default" w:ascii="Arial" w:hAnsi="Arial" w:eastAsia="Arial" w:cs="Arial"/>
        <w:spacing w:val="-2"/>
        <w:w w:val="99"/>
        <w:sz w:val="24"/>
        <w:szCs w:val="24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954" w:hanging="360"/>
        <w:jc w:val="left"/>
      </w:pPr>
      <w:rPr>
        <w:rFonts w:hint="default" w:ascii="Arial" w:hAnsi="Arial" w:eastAsia="Arial" w:cs="Arial"/>
        <w:spacing w:val="-1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2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8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4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0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7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3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95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0"/>
      <w:numFmt w:val="decimal"/>
      <w:lvlText w:val="%1"/>
      <w:lvlJc w:val="left"/>
      <w:pPr>
        <w:ind w:left="234" w:hanging="64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-%2"/>
      <w:lvlJc w:val="left"/>
      <w:pPr>
        <w:ind w:left="234" w:hanging="641"/>
        <w:jc w:val="left"/>
      </w:pPr>
      <w:rPr>
        <w:rFonts w:hint="default" w:ascii="Arial" w:hAnsi="Arial" w:eastAsia="Arial" w:cs="Arial"/>
        <w:spacing w:val="-1"/>
        <w:w w:val="100"/>
        <w:sz w:val="30"/>
        <w:szCs w:val="30"/>
        <w:lang w:val="pt-PT" w:eastAsia="en-US" w:bidi="ar-SA"/>
      </w:rPr>
    </w:lvl>
    <w:lvl w:ilvl="2">
      <w:start w:val="0"/>
      <w:numFmt w:val="bullet"/>
      <w:lvlText w:val=""/>
      <w:lvlJc w:val="left"/>
      <w:pPr>
        <w:ind w:left="954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8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4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0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7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3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95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34" w:hanging="1"/>
      <w:outlineLvl w:val="1"/>
    </w:pPr>
    <w:rPr>
      <w:rFonts w:ascii="Arial" w:hAnsi="Arial" w:eastAsia="Arial" w:cs="Arial"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234"/>
      <w:outlineLvl w:val="2"/>
    </w:pPr>
    <w:rPr>
      <w:rFonts w:ascii="Arial" w:hAnsi="Arial" w:eastAsia="Arial" w:cs="Arial"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593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Academy</dc:creator>
  <dc:title>DP_10_1_Practice_pr.docx</dc:title>
  <dcterms:created xsi:type="dcterms:W3CDTF">2020-05-07T21:04:24Z</dcterms:created>
  <dcterms:modified xsi:type="dcterms:W3CDTF">2020-05-07T21:04:24Z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2020-05-07T00:00:00Z</vt:filetime>
  </property>
</Properties>
</file>