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Kicker"/>
        <w:jc w:val="center"/>
      </w:pPr>
      <w:r>
        <w:t>HARDWARE SIZING FIELD GUIDE</w:t>
      </w:r>
    </w:p>
    <w:p>
      <w:pPr>
        <w:pStyle w:val="CoverTitle"/>
        <w:jc w:val="center"/>
      </w:pPr>
      <w:r>
        <w:t>Foundry Local</w:t>
        <w:br/>
        <w:t>Hardware Requirements and Sizing</w:t>
      </w:r>
    </w:p>
    <w:p>
      <w:pPr>
        <w:pStyle w:val="CoverSubtitle"/>
        <w:jc w:val="center"/>
      </w:pPr>
      <w:r>
        <w:t>A workload-first guide for Foundry Local and Foundry Local on Azure Local</w:t>
      </w:r>
    </w:p>
    <w:tbl>
      <w:tblPr>
        <w:tblStyle w:val="TableGrid"/>
        <w:tblW w:type="dxa" w:w="9360"/>
        <w:jc w:val="left"/>
        <w:tblLayout w:type="fixed"/>
        <w:tblLook w:firstColumn="1" w:firstRow="1" w:lastColumn="0" w:lastRow="0" w:noHBand="0" w:noVBand="1" w:val="04A0"/>
        <w:tblInd w:type="dxa" w:w="120"/>
      </w:tblPr>
      <w:tblGrid>
        <w:gridCol w:w="9360"/>
      </w:tblGrid>
      <w:tr>
        <w:trPr>
          <w:trHeight w:hRule="auto"/>
          <w:tblHeader w:val="true"/>
          <w:cantSplit/>
        </w:trPr>
        <w:tc>
          <w:tcPr>
            <w:tcW w:type="dxa" w:w="9360"/>
            <w:shd w:fill="EAF6FA" w:val="clear"/>
            <w:tcBorders>
              <w:top w:val="single" w:sz="10" w:color="2E74B5"/>
              <w:left w:val="single" w:sz="10" w:color="2E74B5"/>
              <w:bottom w:val="single" w:sz="10" w:color="2E74B5"/>
              <w:right w:val="single" w:sz="10" w:color="2E74B5"/>
              <w:insideH w:val="single" w:sz="10" w:color="2E74B5"/>
              <w:insideV w:val="single" w:sz="10" w:color="2E74B5"/>
            </w:tcBorders>
            <w:vAlign w:val="center"/>
            <w:tcMar>
              <w:top w:w="80" w:type="dxa"/>
              <w:bottom w:w="80" w:type="dxa"/>
              <w:start w:w="120" w:type="dxa"/>
              <w:end w:w="120" w:type="dxa"/>
            </w:tcMar>
          </w:tcPr>
          <w:p>
            <w:pPr>
              <w:pStyle w:val="GuideCallout"/>
            </w:pPr>
            <w:r>
              <w:t>Two products, two hardware decisions</w:t>
            </w:r>
          </w:p>
          <w:p>
            <w:pPr>
              <w:pStyle w:val="GuideSmall"/>
            </w:pPr>
            <w:r>
              <w:rPr>
                <w:color w:val="1F2933"/>
              </w:rPr>
              <w:t>Foundry Local is an on-device, single-user runtime. Foundry Local on Azure Local is a clustered service for shared, governed, scalable inference. A model fitting in memory does not make the two serving patterns interchangeable.</w:t>
            </w:r>
          </w:p>
        </w:tc>
      </w:tr>
    </w:tbl>
    <w:p>
      <w:pPr>
        <w:spacing w:after="40"/>
      </w:pPr>
    </w:p>
    <w:tbl>
      <w:tblPr>
        <w:tblStyle w:val="TableGrid"/>
        <w:tblW w:type="dxa" w:w="9360"/>
        <w:jc w:val="left"/>
        <w:tblLayout w:type="fixed"/>
        <w:tblLook w:firstColumn="1" w:firstRow="1" w:lastColumn="0" w:lastRow="0" w:noHBand="0" w:noVBand="1" w:val="04A0"/>
        <w:tblInd w:type="dxa" w:w="120"/>
      </w:tblPr>
      <w:tblGrid>
        <w:gridCol w:w="2340"/>
        <w:gridCol w:w="7020"/>
      </w:tblGrid>
      <w:tr>
        <w:trPr>
          <w:trHeight w:hRule="auto"/>
          <w:tblHeader w:val="true"/>
          <w:cantSplit/>
        </w:trPr>
        <w:tc>
          <w:tcPr>
            <w:tcW w:type="dxa" w:w="2340"/>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9"/>
              </w:rPr>
              <w:t>Document status</w:t>
            </w:r>
          </w:p>
        </w:tc>
        <w:tc>
          <w:tcPr>
            <w:tcW w:type="dxa" w:w="7020"/>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9"/>
              </w:rPr>
              <w:t>Value</w:t>
            </w:r>
          </w:p>
        </w:tc>
      </w:tr>
      <w:tr>
        <w:trPr>
          <w:cantSplit/>
          <w:trHeight w:hRule="auto"/>
        </w:trPr>
        <w:tc>
          <w:tcPr>
            <w:tcW w:type="dxa" w:w="234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9"/>
              </w:rPr>
              <w:t>Evidence review</w:t>
            </w:r>
          </w:p>
        </w:tc>
        <w:tc>
          <w:tcPr>
            <w:tcW w:type="dxa" w:w="702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9"/>
              </w:rPr>
              <w:t>Microsoft Learn and Kubernetes primary sources checked 11 August 2026</w:t>
            </w:r>
          </w:p>
        </w:tc>
      </w:tr>
      <w:tr>
        <w:trPr>
          <w:cantSplit/>
          <w:trHeight w:hRule="auto"/>
        </w:trPr>
        <w:tc>
          <w:tcPr>
            <w:tcW w:type="dxa" w:w="234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9"/>
              </w:rPr>
              <w:t>Audience</w:t>
            </w:r>
          </w:p>
        </w:tc>
        <w:tc>
          <w:tcPr>
            <w:tcW w:type="dxa" w:w="702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9"/>
              </w:rPr>
              <w:t>Architects, infrastructure teams, application owners, and procurement reviewers</w:t>
            </w:r>
          </w:p>
        </w:tc>
      </w:tr>
      <w:tr>
        <w:trPr>
          <w:cantSplit/>
          <w:trHeight w:hRule="auto"/>
        </w:trPr>
        <w:tc>
          <w:tcPr>
            <w:tcW w:type="dxa" w:w="234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9"/>
              </w:rPr>
              <w:t>Decision rule</w:t>
            </w:r>
          </w:p>
        </w:tc>
        <w:tc>
          <w:tcPr>
            <w:tcW w:type="dxa" w:w="702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9"/>
              </w:rPr>
              <w:t>Select workload and runtime first; benchmark the exact model before purchasing hardware</w:t>
            </w:r>
          </w:p>
        </w:tc>
      </w:tr>
      <w:tr>
        <w:trPr>
          <w:cantSplit/>
          <w:trHeight w:hRule="auto"/>
        </w:trPr>
        <w:tc>
          <w:tcPr>
            <w:tcW w:type="dxa" w:w="234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9"/>
              </w:rPr>
              <w:t>Important correction</w:t>
            </w:r>
          </w:p>
        </w:tc>
        <w:tc>
          <w:tcPr>
            <w:tcW w:type="dxa" w:w="702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9"/>
              </w:rPr>
              <w:t>AKS Arc Standard_D*, Standard_NC*, and Standard_NK* names are local node-profile labels, not Azure public-cloud VM purchases</w:t>
            </w:r>
          </w:p>
        </w:tc>
      </w:tr>
    </w:tbl>
    <w:p>
      <w:pPr>
        <w:spacing w:after="0" w:line="240" w:lineRule="auto"/>
      </w:pPr>
    </w:p>
    <w:p>
      <w:pPr>
        <w:pStyle w:val="GuideSmall"/>
        <w:jc w:val="center"/>
      </w:pPr>
      <w:r>
        <w:t>Prepared as a dated reference. Recheck live compatibility tables before procurement because local model catalogs, accelerator support, and preview features change.</w:t>
      </w:r>
    </w:p>
    <w:p>
      <w:r>
        <w:br w:type="page"/>
      </w:r>
    </w:p>
    <w:p>
      <w:pPr>
        <w:pStyle w:val="Heading1"/>
      </w:pPr>
      <w:r>
        <w:t>Workload fit at a glance</w:t>
      </w:r>
    </w:p>
    <w:p>
      <w:pPr>
        <w:keepNext w:val="0"/>
        <w:keepLines/>
        <w:widowControl/>
      </w:pPr>
      <w:r>
        <w:t>Start here. The same quantized model may be sensible for one person on a laptop and unsuitable as a shared service. Fit depends on serving pattern, not parameter count alone.</w:t>
      </w:r>
    </w:p>
    <w:tbl>
      <w:tblPr>
        <w:tblStyle w:val="TableGrid"/>
        <w:tblW w:type="dxa" w:w="9360"/>
        <w:jc w:val="left"/>
        <w:tblLayout w:type="fixed"/>
        <w:tblLook w:firstColumn="1" w:firstRow="1" w:lastColumn="0" w:lastRow="0" w:noHBand="0" w:noVBand="1" w:val="04A0"/>
        <w:tblInd w:type="dxa" w:w="120"/>
      </w:tblPr>
      <w:tblGrid>
        <w:gridCol w:w="3028"/>
        <w:gridCol w:w="1652"/>
        <w:gridCol w:w="1858"/>
        <w:gridCol w:w="2822"/>
      </w:tblGrid>
      <w:tr>
        <w:trPr>
          <w:trHeight w:hRule="auto"/>
          <w:tblHeader w:val="true"/>
          <w:cantSplit/>
        </w:trPr>
        <w:tc>
          <w:tcPr>
            <w:tcW w:type="dxa" w:w="3028"/>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6"/>
              </w:rPr>
              <w:t>Example workload</w:t>
            </w:r>
          </w:p>
        </w:tc>
        <w:tc>
          <w:tcPr>
            <w:tcW w:type="dxa" w:w="1652"/>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6"/>
              </w:rPr>
              <w:t>Foundry Local</w:t>
            </w:r>
          </w:p>
        </w:tc>
        <w:tc>
          <w:tcPr>
            <w:tcW w:type="dxa" w:w="1858"/>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6"/>
              </w:rPr>
              <w:t>On Azure Local</w:t>
            </w:r>
          </w:p>
        </w:tc>
        <w:tc>
          <w:tcPr>
            <w:tcW w:type="dxa" w:w="2822"/>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6"/>
              </w:rPr>
              <w:t>Reason</w:t>
            </w:r>
          </w:p>
        </w:tc>
      </w:tr>
      <w:tr>
        <w:trPr>
          <w:cantSplit/>
          <w:trHeight w:hRule="auto"/>
        </w:trPr>
        <w:tc>
          <w:tcPr>
            <w:tcW w:type="dxa" w:w="3028"/>
            <w:vAlign w:val="center"/>
            <w:tcBorders>
              <w:top w:val="single" w:sz="6" w:color="D9E1E8"/>
              <w:left w:val="single" w:sz="6" w:color="D9E1E8"/>
              <w:bottom w:val="single" w:sz="6" w:color="D9E1E8"/>
              <w:right w:val="single" w:sz="6" w:color="D9E1E8"/>
              <w:insideH w:val="single" w:sz="6" w:color="D9E1E8"/>
              <w:insideV w:val="single" w:sz="6" w:color="D9E1E8"/>
            </w:tcBorders>
            <w:shd w:fill="EAF4EA" w:val="clear"/>
            <w:tcMar>
              <w:top w:w="80" w:type="dxa"/>
              <w:bottom w:w="80" w:type="dxa"/>
              <w:start w:w="120" w:type="dxa"/>
              <w:end w:w="120" w:type="dxa"/>
            </w:tcMar>
          </w:tcPr>
          <w:p>
            <w:pPr>
              <w:pStyle w:val="GuideTable"/>
              <w:keepNext w:val="0"/>
              <w:keepLines/>
              <w:widowControl/>
            </w:pPr>
            <w:r>
              <w:rPr>
                <w:sz w:val="16"/>
              </w:rPr>
              <w:t>Private chat or document summary for one person</w:t>
            </w:r>
          </w:p>
        </w:tc>
        <w:tc>
          <w:tcPr>
            <w:tcW w:type="dxa" w:w="1652"/>
            <w:vAlign w:val="center"/>
            <w:tcBorders>
              <w:top w:val="single" w:sz="6" w:color="D9E1E8"/>
              <w:left w:val="single" w:sz="6" w:color="D9E1E8"/>
              <w:bottom w:val="single" w:sz="6" w:color="D9E1E8"/>
              <w:right w:val="single" w:sz="6" w:color="D9E1E8"/>
              <w:insideH w:val="single" w:sz="6" w:color="D9E1E8"/>
              <w:insideV w:val="single" w:sz="6" w:color="D9E1E8"/>
            </w:tcBorders>
            <w:shd w:fill="EAF4EA" w:val="clear"/>
            <w:tcMar>
              <w:top w:w="80" w:type="dxa"/>
              <w:bottom w:w="80" w:type="dxa"/>
              <w:start w:w="120" w:type="dxa"/>
              <w:end w:w="120" w:type="dxa"/>
            </w:tcMar>
          </w:tcPr>
          <w:p>
            <w:pPr>
              <w:pStyle w:val="GuideTable"/>
              <w:keepNext w:val="0"/>
              <w:keepLines/>
              <w:widowControl/>
            </w:pPr>
            <w:r>
              <w:rPr>
                <w:sz w:val="16"/>
              </w:rPr>
              <w:t>Good fit</w:t>
            </w:r>
          </w:p>
        </w:tc>
        <w:tc>
          <w:tcPr>
            <w:tcW w:type="dxa" w:w="1858"/>
            <w:vAlign w:val="center"/>
            <w:tcBorders>
              <w:top w:val="single" w:sz="6" w:color="D9E1E8"/>
              <w:left w:val="single" w:sz="6" w:color="D9E1E8"/>
              <w:bottom w:val="single" w:sz="6" w:color="D9E1E8"/>
              <w:right w:val="single" w:sz="6" w:color="D9E1E8"/>
              <w:insideH w:val="single" w:sz="6" w:color="D9E1E8"/>
              <w:insideV w:val="single" w:sz="6" w:color="D9E1E8"/>
            </w:tcBorders>
            <w:shd w:fill="EAF4EA" w:val="clear"/>
            <w:tcMar>
              <w:top w:w="80" w:type="dxa"/>
              <w:bottom w:w="80" w:type="dxa"/>
              <w:start w:w="120" w:type="dxa"/>
              <w:end w:w="120" w:type="dxa"/>
            </w:tcMar>
          </w:tcPr>
          <w:p>
            <w:pPr>
              <w:pStyle w:val="GuideTable"/>
              <w:keepNext w:val="0"/>
              <w:keepLines/>
              <w:widowControl/>
            </w:pPr>
            <w:r>
              <w:rPr>
                <w:sz w:val="16"/>
              </w:rPr>
              <w:t>Possible, usually excessive</w:t>
            </w:r>
          </w:p>
        </w:tc>
        <w:tc>
          <w:tcPr>
            <w:tcW w:type="dxa" w:w="2822"/>
            <w:vAlign w:val="center"/>
            <w:tcBorders>
              <w:top w:val="single" w:sz="6" w:color="D9E1E8"/>
              <w:left w:val="single" w:sz="6" w:color="D9E1E8"/>
              <w:bottom w:val="single" w:sz="6" w:color="D9E1E8"/>
              <w:right w:val="single" w:sz="6" w:color="D9E1E8"/>
              <w:insideH w:val="single" w:sz="6" w:color="D9E1E8"/>
              <w:insideV w:val="single" w:sz="6" w:color="D9E1E8"/>
            </w:tcBorders>
            <w:shd w:fill="EAF4EA" w:val="clear"/>
            <w:tcMar>
              <w:top w:w="80" w:type="dxa"/>
              <w:bottom w:w="80" w:type="dxa"/>
              <w:start w:w="120" w:type="dxa"/>
              <w:end w:w="120" w:type="dxa"/>
            </w:tcMar>
          </w:tcPr>
          <w:p>
            <w:pPr>
              <w:pStyle w:val="GuideTable"/>
              <w:keepNext w:val="0"/>
              <w:keepLines/>
              <w:widowControl/>
            </w:pPr>
            <w:r>
              <w:rPr>
                <w:sz w:val="16"/>
              </w:rPr>
              <w:t>The on-device, single-user design matches the workload.</w:t>
            </w:r>
          </w:p>
        </w:tc>
      </w:tr>
      <w:tr>
        <w:trPr>
          <w:cantSplit/>
          <w:trHeight w:hRule="auto"/>
        </w:trPr>
        <w:tc>
          <w:tcPr>
            <w:tcW w:type="dxa" w:w="3028"/>
            <w:vAlign w:val="center"/>
            <w:tcBorders>
              <w:top w:val="single" w:sz="6" w:color="D9E1E8"/>
              <w:left w:val="single" w:sz="6" w:color="D9E1E8"/>
              <w:bottom w:val="single" w:sz="6" w:color="D9E1E8"/>
              <w:right w:val="single" w:sz="6" w:color="D9E1E8"/>
              <w:insideH w:val="single" w:sz="6" w:color="D9E1E8"/>
              <w:insideV w:val="single" w:sz="6" w:color="D9E1E8"/>
            </w:tcBorders>
            <w:shd w:fill="EAF4EA" w:val="clear"/>
            <w:tcMar>
              <w:top w:w="80" w:type="dxa"/>
              <w:bottom w:w="80" w:type="dxa"/>
              <w:start w:w="120" w:type="dxa"/>
              <w:end w:w="120" w:type="dxa"/>
            </w:tcMar>
          </w:tcPr>
          <w:p>
            <w:pPr>
              <w:pStyle w:val="GuideTable"/>
              <w:keepNext w:val="0"/>
              <w:keepLines/>
              <w:widowControl/>
            </w:pPr>
            <w:r>
              <w:rPr>
                <w:sz w:val="16"/>
              </w:rPr>
              <w:t>One developer's local coding assistant</w:t>
            </w:r>
          </w:p>
        </w:tc>
        <w:tc>
          <w:tcPr>
            <w:tcW w:type="dxa" w:w="1652"/>
            <w:vAlign w:val="center"/>
            <w:tcBorders>
              <w:top w:val="single" w:sz="6" w:color="D9E1E8"/>
              <w:left w:val="single" w:sz="6" w:color="D9E1E8"/>
              <w:bottom w:val="single" w:sz="6" w:color="D9E1E8"/>
              <w:right w:val="single" w:sz="6" w:color="D9E1E8"/>
              <w:insideH w:val="single" w:sz="6" w:color="D9E1E8"/>
              <w:insideV w:val="single" w:sz="6" w:color="D9E1E8"/>
            </w:tcBorders>
            <w:shd w:fill="EAF4EA" w:val="clear"/>
            <w:tcMar>
              <w:top w:w="80" w:type="dxa"/>
              <w:bottom w:w="80" w:type="dxa"/>
              <w:start w:w="120" w:type="dxa"/>
              <w:end w:w="120" w:type="dxa"/>
            </w:tcMar>
          </w:tcPr>
          <w:p>
            <w:pPr>
              <w:pStyle w:val="GuideTable"/>
              <w:keepNext w:val="0"/>
              <w:keepLines/>
              <w:widowControl/>
            </w:pPr>
            <w:r>
              <w:rPr>
                <w:sz w:val="16"/>
              </w:rPr>
              <w:t>Good fit</w:t>
            </w:r>
          </w:p>
        </w:tc>
        <w:tc>
          <w:tcPr>
            <w:tcW w:type="dxa" w:w="1858"/>
            <w:vAlign w:val="center"/>
            <w:tcBorders>
              <w:top w:val="single" w:sz="6" w:color="D9E1E8"/>
              <w:left w:val="single" w:sz="6" w:color="D9E1E8"/>
              <w:bottom w:val="single" w:sz="6" w:color="D9E1E8"/>
              <w:right w:val="single" w:sz="6" w:color="D9E1E8"/>
              <w:insideH w:val="single" w:sz="6" w:color="D9E1E8"/>
              <w:insideV w:val="single" w:sz="6" w:color="D9E1E8"/>
            </w:tcBorders>
            <w:shd w:fill="EAF4EA" w:val="clear"/>
            <w:tcMar>
              <w:top w:w="80" w:type="dxa"/>
              <w:bottom w:w="80" w:type="dxa"/>
              <w:start w:w="120" w:type="dxa"/>
              <w:end w:w="120" w:type="dxa"/>
            </w:tcMar>
          </w:tcPr>
          <w:p>
            <w:pPr>
              <w:pStyle w:val="GuideTable"/>
              <w:keepNext w:val="0"/>
              <w:keepLines/>
              <w:widowControl/>
            </w:pPr>
            <w:r>
              <w:rPr>
                <w:sz w:val="16"/>
              </w:rPr>
              <w:t>Possible, usually excessive</w:t>
            </w:r>
          </w:p>
        </w:tc>
        <w:tc>
          <w:tcPr>
            <w:tcW w:type="dxa" w:w="2822"/>
            <w:vAlign w:val="center"/>
            <w:tcBorders>
              <w:top w:val="single" w:sz="6" w:color="D9E1E8"/>
              <w:left w:val="single" w:sz="6" w:color="D9E1E8"/>
              <w:bottom w:val="single" w:sz="6" w:color="D9E1E8"/>
              <w:right w:val="single" w:sz="6" w:color="D9E1E8"/>
              <w:insideH w:val="single" w:sz="6" w:color="D9E1E8"/>
              <w:insideV w:val="single" w:sz="6" w:color="D9E1E8"/>
            </w:tcBorders>
            <w:shd w:fill="EAF4EA" w:val="clear"/>
            <w:tcMar>
              <w:top w:w="80" w:type="dxa"/>
              <w:bottom w:w="80" w:type="dxa"/>
              <w:start w:w="120" w:type="dxa"/>
              <w:end w:w="120" w:type="dxa"/>
            </w:tcMar>
          </w:tcPr>
          <w:p>
            <w:pPr>
              <w:pStyle w:val="GuideTable"/>
              <w:keepNext w:val="0"/>
              <w:keepLines/>
              <w:widowControl/>
            </w:pPr>
            <w:r>
              <w:rPr>
                <w:sz w:val="16"/>
              </w:rPr>
              <w:t>One active user and a local application are the intended pattern.</w:t>
            </w:r>
          </w:p>
        </w:tc>
      </w:tr>
      <w:tr>
        <w:trPr>
          <w:cantSplit/>
          <w:trHeight w:hRule="auto"/>
        </w:trPr>
        <w:tc>
          <w:tcPr>
            <w:tcW w:type="dxa" w:w="3028"/>
            <w:vAlign w:val="center"/>
            <w:tcBorders>
              <w:top w:val="single" w:sz="6" w:color="D9E1E8"/>
              <w:left w:val="single" w:sz="6" w:color="D9E1E8"/>
              <w:bottom w:val="single" w:sz="6" w:color="D9E1E8"/>
              <w:right w:val="single" w:sz="6" w:color="D9E1E8"/>
              <w:insideH w:val="single" w:sz="6" w:color="D9E1E8"/>
              <w:insideV w:val="single" w:sz="6" w:color="D9E1E8"/>
            </w:tcBorders>
            <w:shd w:fill="EAF4EA" w:val="clear"/>
            <w:tcMar>
              <w:top w:w="80" w:type="dxa"/>
              <w:bottom w:w="80" w:type="dxa"/>
              <w:start w:w="120" w:type="dxa"/>
              <w:end w:w="120" w:type="dxa"/>
            </w:tcMar>
          </w:tcPr>
          <w:p>
            <w:pPr>
              <w:pStyle w:val="GuideTable"/>
              <w:keepNext w:val="0"/>
              <w:keepLines/>
              <w:widowControl/>
            </w:pPr>
            <w:r>
              <w:rPr>
                <w:sz w:val="16"/>
              </w:rPr>
              <w:t>Offline speech-to-text on one device</w:t>
            </w:r>
          </w:p>
        </w:tc>
        <w:tc>
          <w:tcPr>
            <w:tcW w:type="dxa" w:w="1652"/>
            <w:vAlign w:val="center"/>
            <w:tcBorders>
              <w:top w:val="single" w:sz="6" w:color="D9E1E8"/>
              <w:left w:val="single" w:sz="6" w:color="D9E1E8"/>
              <w:bottom w:val="single" w:sz="6" w:color="D9E1E8"/>
              <w:right w:val="single" w:sz="6" w:color="D9E1E8"/>
              <w:insideH w:val="single" w:sz="6" w:color="D9E1E8"/>
              <w:insideV w:val="single" w:sz="6" w:color="D9E1E8"/>
            </w:tcBorders>
            <w:shd w:fill="EAF4EA" w:val="clear"/>
            <w:tcMar>
              <w:top w:w="80" w:type="dxa"/>
              <w:bottom w:w="80" w:type="dxa"/>
              <w:start w:w="120" w:type="dxa"/>
              <w:end w:w="120" w:type="dxa"/>
            </w:tcMar>
          </w:tcPr>
          <w:p>
            <w:pPr>
              <w:pStyle w:val="GuideTable"/>
              <w:keepNext w:val="0"/>
              <w:keepLines/>
              <w:widowControl/>
            </w:pPr>
            <w:r>
              <w:rPr>
                <w:sz w:val="16"/>
              </w:rPr>
              <w:t>Good fit</w:t>
            </w:r>
          </w:p>
        </w:tc>
        <w:tc>
          <w:tcPr>
            <w:tcW w:type="dxa" w:w="1858"/>
            <w:vAlign w:val="center"/>
            <w:tcBorders>
              <w:top w:val="single" w:sz="6" w:color="D9E1E8"/>
              <w:left w:val="single" w:sz="6" w:color="D9E1E8"/>
              <w:bottom w:val="single" w:sz="6" w:color="D9E1E8"/>
              <w:right w:val="single" w:sz="6" w:color="D9E1E8"/>
              <w:insideH w:val="single" w:sz="6" w:color="D9E1E8"/>
              <w:insideV w:val="single" w:sz="6" w:color="D9E1E8"/>
            </w:tcBorders>
            <w:shd w:fill="EAF4EA" w:val="clear"/>
            <w:tcMar>
              <w:top w:w="80" w:type="dxa"/>
              <w:bottom w:w="80" w:type="dxa"/>
              <w:start w:w="120" w:type="dxa"/>
              <w:end w:w="120" w:type="dxa"/>
            </w:tcMar>
          </w:tcPr>
          <w:p>
            <w:pPr>
              <w:pStyle w:val="GuideTable"/>
              <w:keepNext w:val="0"/>
              <w:keepLines/>
              <w:widowControl/>
            </w:pPr>
            <w:r>
              <w:rPr>
                <w:sz w:val="16"/>
              </w:rPr>
              <w:t>Good fit when shared</w:t>
            </w:r>
          </w:p>
        </w:tc>
        <w:tc>
          <w:tcPr>
            <w:tcW w:type="dxa" w:w="2822"/>
            <w:vAlign w:val="center"/>
            <w:tcBorders>
              <w:top w:val="single" w:sz="6" w:color="D9E1E8"/>
              <w:left w:val="single" w:sz="6" w:color="D9E1E8"/>
              <w:bottom w:val="single" w:sz="6" w:color="D9E1E8"/>
              <w:right w:val="single" w:sz="6" w:color="D9E1E8"/>
              <w:insideH w:val="single" w:sz="6" w:color="D9E1E8"/>
              <w:insideV w:val="single" w:sz="6" w:color="D9E1E8"/>
            </w:tcBorders>
            <w:shd w:fill="EAF4EA" w:val="clear"/>
            <w:tcMar>
              <w:top w:w="80" w:type="dxa"/>
              <w:bottom w:w="80" w:type="dxa"/>
              <w:start w:w="120" w:type="dxa"/>
              <w:end w:w="120" w:type="dxa"/>
            </w:tcMar>
          </w:tcPr>
          <w:p>
            <w:pPr>
              <w:pStyle w:val="GuideTable"/>
              <w:keepNext w:val="0"/>
              <w:keepLines/>
              <w:widowControl/>
            </w:pPr>
            <w:r>
              <w:rPr>
                <w:sz w:val="16"/>
              </w:rPr>
              <w:t>Both catalogs include transcription; Azure Local adds an API and replicas.</w:t>
            </w:r>
          </w:p>
        </w:tc>
      </w:tr>
      <w:tr>
        <w:trPr>
          <w:cantSplit/>
          <w:trHeight w:hRule="auto"/>
        </w:trPr>
        <w:tc>
          <w:tcPr>
            <w:tcW w:type="dxa" w:w="3028"/>
            <w:vAlign w:val="center"/>
            <w:tcBorders>
              <w:top w:val="single" w:sz="6" w:color="D9E1E8"/>
              <w:left w:val="single" w:sz="6" w:color="D9E1E8"/>
              <w:bottom w:val="single" w:sz="6" w:color="D9E1E8"/>
              <w:right w:val="single" w:sz="6" w:color="D9E1E8"/>
              <w:insideH w:val="single" w:sz="6" w:color="D9E1E8"/>
              <w:insideV w:val="single" w:sz="6" w:color="D9E1E8"/>
            </w:tcBorders>
            <w:shd w:fill="EAF4EA" w:val="clear"/>
            <w:tcMar>
              <w:top w:w="80" w:type="dxa"/>
              <w:bottom w:w="80" w:type="dxa"/>
              <w:start w:w="120" w:type="dxa"/>
              <w:end w:w="120" w:type="dxa"/>
            </w:tcMar>
          </w:tcPr>
          <w:p>
            <w:pPr>
              <w:pStyle w:val="GuideTable"/>
              <w:keepNext w:val="0"/>
              <w:keepLines/>
              <w:widowControl/>
            </w:pPr>
            <w:r>
              <w:rPr>
                <w:sz w:val="16"/>
              </w:rPr>
              <w:t>Small application-managed retrieval workflow</w:t>
            </w:r>
          </w:p>
        </w:tc>
        <w:tc>
          <w:tcPr>
            <w:tcW w:type="dxa" w:w="1652"/>
            <w:vAlign w:val="center"/>
            <w:tcBorders>
              <w:top w:val="single" w:sz="6" w:color="D9E1E8"/>
              <w:left w:val="single" w:sz="6" w:color="D9E1E8"/>
              <w:bottom w:val="single" w:sz="6" w:color="D9E1E8"/>
              <w:right w:val="single" w:sz="6" w:color="D9E1E8"/>
              <w:insideH w:val="single" w:sz="6" w:color="D9E1E8"/>
              <w:insideV w:val="single" w:sz="6" w:color="D9E1E8"/>
            </w:tcBorders>
            <w:shd w:fill="EAF4EA" w:val="clear"/>
            <w:tcMar>
              <w:top w:w="80" w:type="dxa"/>
              <w:bottom w:w="80" w:type="dxa"/>
              <w:start w:w="120" w:type="dxa"/>
              <w:end w:w="120" w:type="dxa"/>
            </w:tcMar>
          </w:tcPr>
          <w:p>
            <w:pPr>
              <w:pStyle w:val="GuideTable"/>
              <w:keepNext w:val="0"/>
              <w:keepLines/>
              <w:widowControl/>
            </w:pPr>
            <w:r>
              <w:rPr>
                <w:sz w:val="16"/>
              </w:rPr>
              <w:t>Good fit when models fit</w:t>
            </w:r>
          </w:p>
        </w:tc>
        <w:tc>
          <w:tcPr>
            <w:tcW w:type="dxa" w:w="1858"/>
            <w:vAlign w:val="center"/>
            <w:tcBorders>
              <w:top w:val="single" w:sz="6" w:color="D9E1E8"/>
              <w:left w:val="single" w:sz="6" w:color="D9E1E8"/>
              <w:bottom w:val="single" w:sz="6" w:color="D9E1E8"/>
              <w:right w:val="single" w:sz="6" w:color="D9E1E8"/>
              <w:insideH w:val="single" w:sz="6" w:color="D9E1E8"/>
              <w:insideV w:val="single" w:sz="6" w:color="D9E1E8"/>
            </w:tcBorders>
            <w:shd w:fill="EAF4EA" w:val="clear"/>
            <w:tcMar>
              <w:top w:w="80" w:type="dxa"/>
              <w:bottom w:w="80" w:type="dxa"/>
              <w:start w:w="120" w:type="dxa"/>
              <w:end w:w="120" w:type="dxa"/>
            </w:tcMar>
          </w:tcPr>
          <w:p>
            <w:pPr>
              <w:pStyle w:val="GuideTable"/>
              <w:keepNext w:val="0"/>
              <w:keepLines/>
              <w:widowControl/>
            </w:pPr>
            <w:r>
              <w:rPr>
                <w:sz w:val="16"/>
              </w:rPr>
              <w:t>Good fit</w:t>
            </w:r>
          </w:p>
        </w:tc>
        <w:tc>
          <w:tcPr>
            <w:tcW w:type="dxa" w:w="2822"/>
            <w:vAlign w:val="center"/>
            <w:tcBorders>
              <w:top w:val="single" w:sz="6" w:color="D9E1E8"/>
              <w:left w:val="single" w:sz="6" w:color="D9E1E8"/>
              <w:bottom w:val="single" w:sz="6" w:color="D9E1E8"/>
              <w:right w:val="single" w:sz="6" w:color="D9E1E8"/>
              <w:insideH w:val="single" w:sz="6" w:color="D9E1E8"/>
              <w:insideV w:val="single" w:sz="6" w:color="D9E1E8"/>
            </w:tcBorders>
            <w:shd w:fill="EAF4EA" w:val="clear"/>
            <w:tcMar>
              <w:top w:w="80" w:type="dxa"/>
              <w:bottom w:w="80" w:type="dxa"/>
              <w:start w:w="120" w:type="dxa"/>
              <w:end w:w="120" w:type="dxa"/>
            </w:tcMar>
          </w:tcPr>
          <w:p>
            <w:pPr>
              <w:pStyle w:val="GuideTable"/>
              <w:keepNext w:val="0"/>
              <w:keepLines/>
              <w:widowControl/>
            </w:pPr>
            <w:r>
              <w:rPr>
                <w:sz w:val="16"/>
              </w:rPr>
              <w:t>The application owns retrieval. Azure Local also has a separate Agentic Retrieval extension.</w:t>
            </w:r>
          </w:p>
        </w:tc>
      </w:tr>
      <w:tr>
        <w:trPr>
          <w:cantSplit/>
          <w:trHeight w:hRule="auto"/>
        </w:trPr>
        <w:tc>
          <w:tcPr>
            <w:tcW w:type="dxa" w:w="3028"/>
            <w:vAlign w:val="center"/>
            <w:tcBorders>
              <w:top w:val="single" w:sz="6" w:color="D9E1E8"/>
              <w:left w:val="single" w:sz="6" w:color="D9E1E8"/>
              <w:bottom w:val="single" w:sz="6" w:color="D9E1E8"/>
              <w:right w:val="single" w:sz="6" w:color="D9E1E8"/>
              <w:insideH w:val="single" w:sz="6" w:color="D9E1E8"/>
              <w:insideV w:val="single" w:sz="6" w:color="D9E1E8"/>
            </w:tcBorders>
            <w:shd w:fill="FFF4D6" w:val="clear"/>
            <w:tcMar>
              <w:top w:w="80" w:type="dxa"/>
              <w:bottom w:w="80" w:type="dxa"/>
              <w:start w:w="120" w:type="dxa"/>
              <w:end w:w="120" w:type="dxa"/>
            </w:tcMar>
          </w:tcPr>
          <w:p>
            <w:pPr>
              <w:pStyle w:val="GuideTable"/>
              <w:keepNext w:val="0"/>
              <w:keepLines/>
              <w:widowControl/>
            </w:pPr>
            <w:r>
              <w:rPr>
                <w:sz w:val="16"/>
              </w:rPr>
              <w:t>Shared team chat endpoint</w:t>
            </w:r>
          </w:p>
        </w:tc>
        <w:tc>
          <w:tcPr>
            <w:tcW w:type="dxa" w:w="1652"/>
            <w:vAlign w:val="center"/>
            <w:tcBorders>
              <w:top w:val="single" w:sz="6" w:color="D9E1E8"/>
              <w:left w:val="single" w:sz="6" w:color="D9E1E8"/>
              <w:bottom w:val="single" w:sz="6" w:color="D9E1E8"/>
              <w:right w:val="single" w:sz="6" w:color="D9E1E8"/>
              <w:insideH w:val="single" w:sz="6" w:color="D9E1E8"/>
              <w:insideV w:val="single" w:sz="6" w:color="D9E1E8"/>
            </w:tcBorders>
            <w:shd w:fill="FFF4D6" w:val="clear"/>
            <w:tcMar>
              <w:top w:w="80" w:type="dxa"/>
              <w:bottom w:w="80" w:type="dxa"/>
              <w:start w:w="120" w:type="dxa"/>
              <w:end w:w="120" w:type="dxa"/>
            </w:tcMar>
          </w:tcPr>
          <w:p>
            <w:pPr>
              <w:pStyle w:val="GuideTable"/>
              <w:keepNext w:val="0"/>
              <w:keepLines/>
              <w:widowControl/>
            </w:pPr>
            <w:r>
              <w:rPr>
                <w:sz w:val="16"/>
              </w:rPr>
              <w:t>Not intended</w:t>
            </w:r>
          </w:p>
        </w:tc>
        <w:tc>
          <w:tcPr>
            <w:tcW w:type="dxa" w:w="1858"/>
            <w:vAlign w:val="center"/>
            <w:tcBorders>
              <w:top w:val="single" w:sz="6" w:color="D9E1E8"/>
              <w:left w:val="single" w:sz="6" w:color="D9E1E8"/>
              <w:bottom w:val="single" w:sz="6" w:color="D9E1E8"/>
              <w:right w:val="single" w:sz="6" w:color="D9E1E8"/>
              <w:insideH w:val="single" w:sz="6" w:color="D9E1E8"/>
              <w:insideV w:val="single" w:sz="6" w:color="D9E1E8"/>
            </w:tcBorders>
            <w:shd w:fill="FFF4D6" w:val="clear"/>
            <w:tcMar>
              <w:top w:w="80" w:type="dxa"/>
              <w:bottom w:w="80" w:type="dxa"/>
              <w:start w:w="120" w:type="dxa"/>
              <w:end w:w="120" w:type="dxa"/>
            </w:tcMar>
          </w:tcPr>
          <w:p>
            <w:pPr>
              <w:pStyle w:val="GuideTable"/>
              <w:keepNext w:val="0"/>
              <w:keepLines/>
              <w:widowControl/>
            </w:pPr>
            <w:r>
              <w:rPr>
                <w:sz w:val="16"/>
              </w:rPr>
              <w:t>Good fit</w:t>
            </w:r>
          </w:p>
        </w:tc>
        <w:tc>
          <w:tcPr>
            <w:tcW w:type="dxa" w:w="2822"/>
            <w:vAlign w:val="center"/>
            <w:tcBorders>
              <w:top w:val="single" w:sz="6" w:color="D9E1E8"/>
              <w:left w:val="single" w:sz="6" w:color="D9E1E8"/>
              <w:bottom w:val="single" w:sz="6" w:color="D9E1E8"/>
              <w:right w:val="single" w:sz="6" w:color="D9E1E8"/>
              <w:insideH w:val="single" w:sz="6" w:color="D9E1E8"/>
              <w:insideV w:val="single" w:sz="6" w:color="D9E1E8"/>
            </w:tcBorders>
            <w:shd w:fill="FFF4D6" w:val="clear"/>
            <w:tcMar>
              <w:top w:w="80" w:type="dxa"/>
              <w:bottom w:w="80" w:type="dxa"/>
              <w:start w:w="120" w:type="dxa"/>
              <w:end w:w="120" w:type="dxa"/>
            </w:tcMar>
          </w:tcPr>
          <w:p>
            <w:pPr>
              <w:pStyle w:val="GuideTable"/>
              <w:keepNext w:val="0"/>
              <w:keepLines/>
              <w:widowControl/>
            </w:pPr>
            <w:r>
              <w:rPr>
                <w:sz w:val="16"/>
              </w:rPr>
              <w:t>Device Foundry lacks concurrent queueing, continuous batching, and shared-GPU scheduling.</w:t>
            </w:r>
          </w:p>
        </w:tc>
      </w:tr>
      <w:tr>
        <w:trPr>
          <w:cantSplit/>
          <w:trHeight w:hRule="auto"/>
        </w:trPr>
        <w:tc>
          <w:tcPr>
            <w:tcW w:type="dxa" w:w="3028"/>
            <w:vAlign w:val="center"/>
            <w:tcBorders>
              <w:top w:val="single" w:sz="6" w:color="D9E1E8"/>
              <w:left w:val="single" w:sz="6" w:color="D9E1E8"/>
              <w:bottom w:val="single" w:sz="6" w:color="D9E1E8"/>
              <w:right w:val="single" w:sz="6" w:color="D9E1E8"/>
              <w:insideH w:val="single" w:sz="6" w:color="D9E1E8"/>
              <w:insideV w:val="single" w:sz="6" w:color="D9E1E8"/>
            </w:tcBorders>
            <w:shd w:fill="FFF4D6" w:val="clear"/>
            <w:tcMar>
              <w:top w:w="80" w:type="dxa"/>
              <w:bottom w:w="80" w:type="dxa"/>
              <w:start w:w="120" w:type="dxa"/>
              <w:end w:w="120" w:type="dxa"/>
            </w:tcMar>
          </w:tcPr>
          <w:p>
            <w:pPr>
              <w:pStyle w:val="GuideTable"/>
              <w:keepNext w:val="0"/>
              <w:keepLines/>
              <w:widowControl/>
            </w:pPr>
            <w:r>
              <w:rPr>
                <w:sz w:val="16"/>
              </w:rPr>
              <w:t>Several governed models behind internal APIs</w:t>
            </w:r>
          </w:p>
        </w:tc>
        <w:tc>
          <w:tcPr>
            <w:tcW w:type="dxa" w:w="1652"/>
            <w:vAlign w:val="center"/>
            <w:tcBorders>
              <w:top w:val="single" w:sz="6" w:color="D9E1E8"/>
              <w:left w:val="single" w:sz="6" w:color="D9E1E8"/>
              <w:bottom w:val="single" w:sz="6" w:color="D9E1E8"/>
              <w:right w:val="single" w:sz="6" w:color="D9E1E8"/>
              <w:insideH w:val="single" w:sz="6" w:color="D9E1E8"/>
              <w:insideV w:val="single" w:sz="6" w:color="D9E1E8"/>
            </w:tcBorders>
            <w:shd w:fill="FFF4D6" w:val="clear"/>
            <w:tcMar>
              <w:top w:w="80" w:type="dxa"/>
              <w:bottom w:w="80" w:type="dxa"/>
              <w:start w:w="120" w:type="dxa"/>
              <w:end w:w="120" w:type="dxa"/>
            </w:tcMar>
          </w:tcPr>
          <w:p>
            <w:pPr>
              <w:pStyle w:val="GuideTable"/>
              <w:keepNext w:val="0"/>
              <w:keepLines/>
              <w:widowControl/>
            </w:pPr>
            <w:r>
              <w:rPr>
                <w:sz w:val="16"/>
              </w:rPr>
              <w:t>Not intended</w:t>
            </w:r>
          </w:p>
        </w:tc>
        <w:tc>
          <w:tcPr>
            <w:tcW w:type="dxa" w:w="1858"/>
            <w:vAlign w:val="center"/>
            <w:tcBorders>
              <w:top w:val="single" w:sz="6" w:color="D9E1E8"/>
              <w:left w:val="single" w:sz="6" w:color="D9E1E8"/>
              <w:bottom w:val="single" w:sz="6" w:color="D9E1E8"/>
              <w:right w:val="single" w:sz="6" w:color="D9E1E8"/>
              <w:insideH w:val="single" w:sz="6" w:color="D9E1E8"/>
              <w:insideV w:val="single" w:sz="6" w:color="D9E1E8"/>
            </w:tcBorders>
            <w:shd w:fill="FFF4D6" w:val="clear"/>
            <w:tcMar>
              <w:top w:w="80" w:type="dxa"/>
              <w:bottom w:w="80" w:type="dxa"/>
              <w:start w:w="120" w:type="dxa"/>
              <w:end w:w="120" w:type="dxa"/>
            </w:tcMar>
          </w:tcPr>
          <w:p>
            <w:pPr>
              <w:pStyle w:val="GuideTable"/>
              <w:keepNext w:val="0"/>
              <w:keepLines/>
              <w:widowControl/>
            </w:pPr>
            <w:r>
              <w:rPr>
                <w:sz w:val="16"/>
              </w:rPr>
              <w:t>Good fit</w:t>
            </w:r>
          </w:p>
        </w:tc>
        <w:tc>
          <w:tcPr>
            <w:tcW w:type="dxa" w:w="2822"/>
            <w:vAlign w:val="center"/>
            <w:tcBorders>
              <w:top w:val="single" w:sz="6" w:color="D9E1E8"/>
              <w:left w:val="single" w:sz="6" w:color="D9E1E8"/>
              <w:bottom w:val="single" w:sz="6" w:color="D9E1E8"/>
              <w:right w:val="single" w:sz="6" w:color="D9E1E8"/>
              <w:insideH w:val="single" w:sz="6" w:color="D9E1E8"/>
              <w:insideV w:val="single" w:sz="6" w:color="D9E1E8"/>
            </w:tcBorders>
            <w:shd w:fill="FFF4D6" w:val="clear"/>
            <w:tcMar>
              <w:top w:w="80" w:type="dxa"/>
              <w:bottom w:w="80" w:type="dxa"/>
              <w:start w:w="120" w:type="dxa"/>
              <w:end w:w="120" w:type="dxa"/>
            </w:tcMar>
          </w:tcPr>
          <w:p>
            <w:pPr>
              <w:pStyle w:val="GuideTable"/>
              <w:keepNext w:val="0"/>
              <w:keepLines/>
              <w:widowControl/>
            </w:pPr>
            <w:r>
              <w:rPr>
                <w:sz w:val="16"/>
              </w:rPr>
              <w:t>The cluster supports multi-model endpoints, scheduling, and replicas.</w:t>
            </w:r>
          </w:p>
        </w:tc>
      </w:tr>
      <w:tr>
        <w:trPr>
          <w:cantSplit/>
          <w:trHeight w:hRule="auto"/>
        </w:trPr>
        <w:tc>
          <w:tcPr>
            <w:tcW w:type="dxa" w:w="3028"/>
            <w:vAlign w:val="center"/>
            <w:tcBorders>
              <w:top w:val="single" w:sz="6" w:color="D9E1E8"/>
              <w:left w:val="single" w:sz="6" w:color="D9E1E8"/>
              <w:bottom w:val="single" w:sz="6" w:color="D9E1E8"/>
              <w:right w:val="single" w:sz="6" w:color="D9E1E8"/>
              <w:insideH w:val="single" w:sz="6" w:color="D9E1E8"/>
              <w:insideV w:val="single" w:sz="6" w:color="D9E1E8"/>
            </w:tcBorders>
            <w:shd w:fill="FBE9E7" w:val="clear"/>
            <w:tcMar>
              <w:top w:w="80" w:type="dxa"/>
              <w:bottom w:w="80" w:type="dxa"/>
              <w:start w:w="120" w:type="dxa"/>
              <w:end w:w="120" w:type="dxa"/>
            </w:tcMar>
          </w:tcPr>
          <w:p>
            <w:pPr>
              <w:pStyle w:val="GuideTable"/>
              <w:keepNext w:val="0"/>
              <w:keepLines/>
              <w:widowControl/>
            </w:pPr>
            <w:r>
              <w:rPr>
                <w:sz w:val="16"/>
              </w:rPr>
              <w:t>High-availability on-premises inference</w:t>
            </w:r>
          </w:p>
        </w:tc>
        <w:tc>
          <w:tcPr>
            <w:tcW w:type="dxa" w:w="1652"/>
            <w:vAlign w:val="center"/>
            <w:tcBorders>
              <w:top w:val="single" w:sz="6" w:color="D9E1E8"/>
              <w:left w:val="single" w:sz="6" w:color="D9E1E8"/>
              <w:bottom w:val="single" w:sz="6" w:color="D9E1E8"/>
              <w:right w:val="single" w:sz="6" w:color="D9E1E8"/>
              <w:insideH w:val="single" w:sz="6" w:color="D9E1E8"/>
              <w:insideV w:val="single" w:sz="6" w:color="D9E1E8"/>
            </w:tcBorders>
            <w:shd w:fill="FBE9E7" w:val="clear"/>
            <w:tcMar>
              <w:top w:w="80" w:type="dxa"/>
              <w:bottom w:w="80" w:type="dxa"/>
              <w:start w:w="120" w:type="dxa"/>
              <w:end w:w="120" w:type="dxa"/>
            </w:tcMar>
          </w:tcPr>
          <w:p>
            <w:pPr>
              <w:pStyle w:val="GuideTable"/>
              <w:keepNext w:val="0"/>
              <w:keepLines/>
              <w:widowControl/>
            </w:pPr>
            <w:r>
              <w:rPr>
                <w:sz w:val="16"/>
              </w:rPr>
              <w:t>No</w:t>
            </w:r>
          </w:p>
        </w:tc>
        <w:tc>
          <w:tcPr>
            <w:tcW w:type="dxa" w:w="1858"/>
            <w:vAlign w:val="center"/>
            <w:tcBorders>
              <w:top w:val="single" w:sz="6" w:color="D9E1E8"/>
              <w:left w:val="single" w:sz="6" w:color="D9E1E8"/>
              <w:bottom w:val="single" w:sz="6" w:color="D9E1E8"/>
              <w:right w:val="single" w:sz="6" w:color="D9E1E8"/>
              <w:insideH w:val="single" w:sz="6" w:color="D9E1E8"/>
              <w:insideV w:val="single" w:sz="6" w:color="D9E1E8"/>
            </w:tcBorders>
            <w:shd w:fill="FBE9E7" w:val="clear"/>
            <w:tcMar>
              <w:top w:w="80" w:type="dxa"/>
              <w:bottom w:w="80" w:type="dxa"/>
              <w:start w:w="120" w:type="dxa"/>
              <w:end w:w="120" w:type="dxa"/>
            </w:tcMar>
          </w:tcPr>
          <w:p>
            <w:pPr>
              <w:pStyle w:val="GuideTable"/>
              <w:keepNext w:val="0"/>
              <w:keepLines/>
              <w:widowControl/>
            </w:pPr>
            <w:r>
              <w:rPr>
                <w:sz w:val="16"/>
              </w:rPr>
              <w:t>Good fit with redundancy</w:t>
            </w:r>
          </w:p>
        </w:tc>
        <w:tc>
          <w:tcPr>
            <w:tcW w:type="dxa" w:w="2822"/>
            <w:vAlign w:val="center"/>
            <w:tcBorders>
              <w:top w:val="single" w:sz="6" w:color="D9E1E8"/>
              <w:left w:val="single" w:sz="6" w:color="D9E1E8"/>
              <w:bottom w:val="single" w:sz="6" w:color="D9E1E8"/>
              <w:right w:val="single" w:sz="6" w:color="D9E1E8"/>
              <w:insideH w:val="single" w:sz="6" w:color="D9E1E8"/>
              <w:insideV w:val="single" w:sz="6" w:color="D9E1E8"/>
            </w:tcBorders>
            <w:shd w:fill="FBE9E7" w:val="clear"/>
            <w:tcMar>
              <w:top w:w="80" w:type="dxa"/>
              <w:bottom w:w="80" w:type="dxa"/>
              <w:start w:w="120" w:type="dxa"/>
              <w:end w:w="120" w:type="dxa"/>
            </w:tcMar>
          </w:tcPr>
          <w:p>
            <w:pPr>
              <w:pStyle w:val="GuideTable"/>
              <w:keepNext w:val="0"/>
              <w:keepLines/>
              <w:widowControl/>
            </w:pPr>
            <w:r>
              <w:rPr>
                <w:sz w:val="16"/>
              </w:rPr>
              <w:t>A single device has no cluster failover.</w:t>
            </w:r>
          </w:p>
        </w:tc>
      </w:tr>
      <w:tr>
        <w:trPr>
          <w:cantSplit/>
          <w:trHeight w:hRule="auto"/>
        </w:trPr>
        <w:tc>
          <w:tcPr>
            <w:tcW w:type="dxa" w:w="3028"/>
            <w:vAlign w:val="center"/>
            <w:tcBorders>
              <w:top w:val="single" w:sz="6" w:color="D9E1E8"/>
              <w:left w:val="single" w:sz="6" w:color="D9E1E8"/>
              <w:bottom w:val="single" w:sz="6" w:color="D9E1E8"/>
              <w:right w:val="single" w:sz="6" w:color="D9E1E8"/>
              <w:insideH w:val="single" w:sz="6" w:color="D9E1E8"/>
              <w:insideV w:val="single" w:sz="6" w:color="D9E1E8"/>
            </w:tcBorders>
            <w:shd w:fill="FFF4D6" w:val="clear"/>
            <w:tcMar>
              <w:top w:w="80" w:type="dxa"/>
              <w:bottom w:w="80" w:type="dxa"/>
              <w:start w:w="120" w:type="dxa"/>
              <w:end w:w="120" w:type="dxa"/>
            </w:tcMar>
          </w:tcPr>
          <w:p>
            <w:pPr>
              <w:pStyle w:val="GuideTable"/>
              <w:keepNext w:val="0"/>
              <w:keepLines/>
              <w:widowControl/>
            </w:pPr>
            <w:r>
              <w:rPr>
                <w:sz w:val="16"/>
              </w:rPr>
              <w:t>High-concurrency 4B to 20B chat or reasoning</w:t>
            </w:r>
          </w:p>
        </w:tc>
        <w:tc>
          <w:tcPr>
            <w:tcW w:type="dxa" w:w="1652"/>
            <w:vAlign w:val="center"/>
            <w:tcBorders>
              <w:top w:val="single" w:sz="6" w:color="D9E1E8"/>
              <w:left w:val="single" w:sz="6" w:color="D9E1E8"/>
              <w:bottom w:val="single" w:sz="6" w:color="D9E1E8"/>
              <w:right w:val="single" w:sz="6" w:color="D9E1E8"/>
              <w:insideH w:val="single" w:sz="6" w:color="D9E1E8"/>
              <w:insideV w:val="single" w:sz="6" w:color="D9E1E8"/>
            </w:tcBorders>
            <w:shd w:fill="FFF4D6" w:val="clear"/>
            <w:tcMar>
              <w:top w:w="80" w:type="dxa"/>
              <w:bottom w:w="80" w:type="dxa"/>
              <w:start w:w="120" w:type="dxa"/>
              <w:end w:w="120" w:type="dxa"/>
            </w:tcMar>
          </w:tcPr>
          <w:p>
            <w:pPr>
              <w:pStyle w:val="GuideTable"/>
              <w:keepNext w:val="0"/>
              <w:keepLines/>
              <w:widowControl/>
            </w:pPr>
            <w:r>
              <w:rPr>
                <w:sz w:val="16"/>
              </w:rPr>
              <w:t>No as a shared service</w:t>
            </w:r>
          </w:p>
        </w:tc>
        <w:tc>
          <w:tcPr>
            <w:tcW w:type="dxa" w:w="1858"/>
            <w:vAlign w:val="center"/>
            <w:tcBorders>
              <w:top w:val="single" w:sz="6" w:color="D9E1E8"/>
              <w:left w:val="single" w:sz="6" w:color="D9E1E8"/>
              <w:bottom w:val="single" w:sz="6" w:color="D9E1E8"/>
              <w:right w:val="single" w:sz="6" w:color="D9E1E8"/>
              <w:insideH w:val="single" w:sz="6" w:color="D9E1E8"/>
              <w:insideV w:val="single" w:sz="6" w:color="D9E1E8"/>
            </w:tcBorders>
            <w:shd w:fill="FFF4D6" w:val="clear"/>
            <w:tcMar>
              <w:top w:w="80" w:type="dxa"/>
              <w:bottom w:w="80" w:type="dxa"/>
              <w:start w:w="120" w:type="dxa"/>
              <w:end w:w="120" w:type="dxa"/>
            </w:tcMar>
          </w:tcPr>
          <w:p>
            <w:pPr>
              <w:pStyle w:val="GuideTable"/>
              <w:keepNext w:val="0"/>
              <w:keepLines/>
              <w:widowControl/>
            </w:pPr>
            <w:r>
              <w:rPr>
                <w:sz w:val="16"/>
              </w:rPr>
              <w:t>Good fit with measured GPUs</w:t>
            </w:r>
          </w:p>
        </w:tc>
        <w:tc>
          <w:tcPr>
            <w:tcW w:type="dxa" w:w="2822"/>
            <w:vAlign w:val="center"/>
            <w:tcBorders>
              <w:top w:val="single" w:sz="6" w:color="D9E1E8"/>
              <w:left w:val="single" w:sz="6" w:color="D9E1E8"/>
              <w:bottom w:val="single" w:sz="6" w:color="D9E1E8"/>
              <w:right w:val="single" w:sz="6" w:color="D9E1E8"/>
              <w:insideH w:val="single" w:sz="6" w:color="D9E1E8"/>
              <w:insideV w:val="single" w:sz="6" w:color="D9E1E8"/>
            </w:tcBorders>
            <w:shd w:fill="FFF4D6" w:val="clear"/>
            <w:tcMar>
              <w:top w:w="80" w:type="dxa"/>
              <w:bottom w:w="80" w:type="dxa"/>
              <w:start w:w="120" w:type="dxa"/>
              <w:end w:w="120" w:type="dxa"/>
            </w:tcMar>
          </w:tcPr>
          <w:p>
            <w:pPr>
              <w:pStyle w:val="GuideTable"/>
              <w:keepNext w:val="0"/>
              <w:keepLines/>
              <w:widowControl/>
            </w:pPr>
            <w:r>
              <w:rPr>
                <w:sz w:val="16"/>
              </w:rPr>
              <w:t>vLLM supports continuous batching and multi-replica routing.</w:t>
            </w:r>
          </w:p>
        </w:tc>
      </w:tr>
      <w:tr>
        <w:trPr>
          <w:cantSplit/>
          <w:trHeight w:hRule="auto"/>
        </w:trPr>
        <w:tc>
          <w:tcPr>
            <w:tcW w:type="dxa" w:w="3028"/>
            <w:vAlign w:val="center"/>
            <w:tcBorders>
              <w:top w:val="single" w:sz="6" w:color="D9E1E8"/>
              <w:left w:val="single" w:sz="6" w:color="D9E1E8"/>
              <w:bottom w:val="single" w:sz="6" w:color="D9E1E8"/>
              <w:right w:val="single" w:sz="6" w:color="D9E1E8"/>
              <w:insideH w:val="single" w:sz="6" w:color="D9E1E8"/>
              <w:insideV w:val="single" w:sz="6" w:color="D9E1E8"/>
            </w:tcBorders>
            <w:shd w:fill="FFF4D6" w:val="clear"/>
            <w:tcMar>
              <w:top w:w="80" w:type="dxa"/>
              <w:bottom w:w="80" w:type="dxa"/>
              <w:start w:w="120" w:type="dxa"/>
              <w:end w:w="120" w:type="dxa"/>
            </w:tcMar>
          </w:tcPr>
          <w:p>
            <w:pPr>
              <w:pStyle w:val="GuideTable"/>
              <w:keepNext w:val="0"/>
              <w:keepLines/>
              <w:widowControl/>
            </w:pPr>
            <w:r>
              <w:rPr>
                <w:sz w:val="16"/>
              </w:rPr>
              <w:t>20B model for one user on a powerful workstation</w:t>
            </w:r>
          </w:p>
        </w:tc>
        <w:tc>
          <w:tcPr>
            <w:tcW w:type="dxa" w:w="1652"/>
            <w:vAlign w:val="center"/>
            <w:tcBorders>
              <w:top w:val="single" w:sz="6" w:color="D9E1E8"/>
              <w:left w:val="single" w:sz="6" w:color="D9E1E8"/>
              <w:bottom w:val="single" w:sz="6" w:color="D9E1E8"/>
              <w:right w:val="single" w:sz="6" w:color="D9E1E8"/>
              <w:insideH w:val="single" w:sz="6" w:color="D9E1E8"/>
              <w:insideV w:val="single" w:sz="6" w:color="D9E1E8"/>
            </w:tcBorders>
            <w:shd w:fill="FFF4D6" w:val="clear"/>
            <w:tcMar>
              <w:top w:w="80" w:type="dxa"/>
              <w:bottom w:w="80" w:type="dxa"/>
              <w:start w:w="120" w:type="dxa"/>
              <w:end w:w="120" w:type="dxa"/>
            </w:tcMar>
          </w:tcPr>
          <w:p>
            <w:pPr>
              <w:pStyle w:val="GuideTable"/>
              <w:keepNext w:val="0"/>
              <w:keepLines/>
              <w:widowControl/>
            </w:pPr>
            <w:r>
              <w:rPr>
                <w:sz w:val="16"/>
              </w:rPr>
              <w:t>Possible, validate exact device</w:t>
            </w:r>
          </w:p>
        </w:tc>
        <w:tc>
          <w:tcPr>
            <w:tcW w:type="dxa" w:w="1858"/>
            <w:vAlign w:val="center"/>
            <w:tcBorders>
              <w:top w:val="single" w:sz="6" w:color="D9E1E8"/>
              <w:left w:val="single" w:sz="6" w:color="D9E1E8"/>
              <w:bottom w:val="single" w:sz="6" w:color="D9E1E8"/>
              <w:right w:val="single" w:sz="6" w:color="D9E1E8"/>
              <w:insideH w:val="single" w:sz="6" w:color="D9E1E8"/>
              <w:insideV w:val="single" w:sz="6" w:color="D9E1E8"/>
            </w:tcBorders>
            <w:shd w:fill="FFF4D6" w:val="clear"/>
            <w:tcMar>
              <w:top w:w="80" w:type="dxa"/>
              <w:bottom w:w="80" w:type="dxa"/>
              <w:start w:w="120" w:type="dxa"/>
              <w:end w:w="120" w:type="dxa"/>
            </w:tcMar>
          </w:tcPr>
          <w:p>
            <w:pPr>
              <w:pStyle w:val="GuideTable"/>
              <w:keepNext w:val="0"/>
              <w:keepLines/>
              <w:widowControl/>
            </w:pPr>
            <w:r>
              <w:rPr>
                <w:sz w:val="16"/>
              </w:rPr>
              <w:t>Good fit with supported GPU</w:t>
            </w:r>
          </w:p>
        </w:tc>
        <w:tc>
          <w:tcPr>
            <w:tcW w:type="dxa" w:w="2822"/>
            <w:vAlign w:val="center"/>
            <w:tcBorders>
              <w:top w:val="single" w:sz="6" w:color="D9E1E8"/>
              <w:left w:val="single" w:sz="6" w:color="D9E1E8"/>
              <w:bottom w:val="single" w:sz="6" w:color="D9E1E8"/>
              <w:right w:val="single" w:sz="6" w:color="D9E1E8"/>
              <w:insideH w:val="single" w:sz="6" w:color="D9E1E8"/>
              <w:insideV w:val="single" w:sz="6" w:color="D9E1E8"/>
            </w:tcBorders>
            <w:shd w:fill="FFF4D6" w:val="clear"/>
            <w:tcMar>
              <w:top w:w="80" w:type="dxa"/>
              <w:bottom w:w="80" w:type="dxa"/>
              <w:start w:w="120" w:type="dxa"/>
              <w:end w:w="120" w:type="dxa"/>
            </w:tcMar>
          </w:tcPr>
          <w:p>
            <w:pPr>
              <w:pStyle w:val="GuideTable"/>
              <w:keepNext w:val="0"/>
              <w:keepLines/>
              <w:widowControl/>
            </w:pPr>
            <w:r>
              <w:rPr>
                <w:sz w:val="16"/>
              </w:rPr>
              <w:t>Microsoft does not publish a universal device requirement.</w:t>
            </w:r>
          </w:p>
        </w:tc>
      </w:tr>
      <w:tr>
        <w:trPr>
          <w:cantSplit/>
          <w:trHeight w:hRule="auto"/>
        </w:trPr>
        <w:tc>
          <w:tcPr>
            <w:tcW w:type="dxa" w:w="302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Predictive ONNX scoring or object detection</w:t>
            </w:r>
          </w:p>
        </w:tc>
        <w:tc>
          <w:tcPr>
            <w:tcW w:type="dxa" w:w="1652"/>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Application-specific</w:t>
            </w:r>
          </w:p>
        </w:tc>
        <w:tc>
          <w:tcPr>
            <w:tcW w:type="dxa" w:w="185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Supported as BYO ONNX</w:t>
            </w:r>
          </w:p>
        </w:tc>
        <w:tc>
          <w:tcPr>
            <w:tcW w:type="dxa" w:w="2822"/>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Azure Local documents a predictive inference path.</w:t>
            </w:r>
          </w:p>
        </w:tc>
      </w:tr>
      <w:tr>
        <w:trPr>
          <w:cantSplit/>
          <w:trHeight w:hRule="auto"/>
        </w:trPr>
        <w:tc>
          <w:tcPr>
            <w:tcW w:type="dxa" w:w="3028"/>
            <w:vAlign w:val="center"/>
            <w:tcBorders>
              <w:top w:val="single" w:sz="6" w:color="D9E1E8"/>
              <w:left w:val="single" w:sz="6" w:color="D9E1E8"/>
              <w:bottom w:val="single" w:sz="6" w:color="D9E1E8"/>
              <w:right w:val="single" w:sz="6" w:color="D9E1E8"/>
              <w:insideH w:val="single" w:sz="6" w:color="D9E1E8"/>
              <w:insideV w:val="single" w:sz="6" w:color="D9E1E8"/>
            </w:tcBorders>
            <w:shd w:fill="FFF4D6" w:val="clear"/>
            <w:tcMar>
              <w:top w:w="80" w:type="dxa"/>
              <w:bottom w:w="80" w:type="dxa"/>
              <w:start w:w="120" w:type="dxa"/>
              <w:end w:w="120" w:type="dxa"/>
            </w:tcMar>
          </w:tcPr>
          <w:p>
            <w:pPr>
              <w:pStyle w:val="GuideTable"/>
              <w:keepNext w:val="0"/>
              <w:keepLines/>
              <w:widowControl/>
            </w:pPr>
            <w:r>
              <w:rPr>
                <w:sz w:val="16"/>
              </w:rPr>
              <w:t>Agentic Retrieval over documents and images</w:t>
            </w:r>
          </w:p>
        </w:tc>
        <w:tc>
          <w:tcPr>
            <w:tcW w:type="dxa" w:w="1652"/>
            <w:vAlign w:val="center"/>
            <w:tcBorders>
              <w:top w:val="single" w:sz="6" w:color="D9E1E8"/>
              <w:left w:val="single" w:sz="6" w:color="D9E1E8"/>
              <w:bottom w:val="single" w:sz="6" w:color="D9E1E8"/>
              <w:right w:val="single" w:sz="6" w:color="D9E1E8"/>
              <w:insideH w:val="single" w:sz="6" w:color="D9E1E8"/>
              <w:insideV w:val="single" w:sz="6" w:color="D9E1E8"/>
            </w:tcBorders>
            <w:shd w:fill="FFF4D6" w:val="clear"/>
            <w:tcMar>
              <w:top w:w="80" w:type="dxa"/>
              <w:bottom w:w="80" w:type="dxa"/>
              <w:start w:w="120" w:type="dxa"/>
              <w:end w:w="120" w:type="dxa"/>
            </w:tcMar>
          </w:tcPr>
          <w:p>
            <w:pPr>
              <w:pStyle w:val="GuideTable"/>
              <w:keepNext w:val="0"/>
              <w:keepLines/>
              <w:widowControl/>
            </w:pPr>
            <w:r>
              <w:rPr>
                <w:sz w:val="16"/>
              </w:rPr>
              <w:t>No built-in service</w:t>
            </w:r>
          </w:p>
        </w:tc>
        <w:tc>
          <w:tcPr>
            <w:tcW w:type="dxa" w:w="1858"/>
            <w:vAlign w:val="center"/>
            <w:tcBorders>
              <w:top w:val="single" w:sz="6" w:color="D9E1E8"/>
              <w:left w:val="single" w:sz="6" w:color="D9E1E8"/>
              <w:bottom w:val="single" w:sz="6" w:color="D9E1E8"/>
              <w:right w:val="single" w:sz="6" w:color="D9E1E8"/>
              <w:insideH w:val="single" w:sz="6" w:color="D9E1E8"/>
              <w:insideV w:val="single" w:sz="6" w:color="D9E1E8"/>
            </w:tcBorders>
            <w:shd w:fill="FFF4D6" w:val="clear"/>
            <w:tcMar>
              <w:top w:w="80" w:type="dxa"/>
              <w:bottom w:w="80" w:type="dxa"/>
              <w:start w:w="120" w:type="dxa"/>
              <w:end w:w="120" w:type="dxa"/>
            </w:tcMar>
          </w:tcPr>
          <w:p>
            <w:pPr>
              <w:pStyle w:val="GuideTable"/>
              <w:keepNext w:val="0"/>
              <w:keepLines/>
              <w:widowControl/>
            </w:pPr>
            <w:r>
              <w:rPr>
                <w:sz w:val="16"/>
              </w:rPr>
              <w:t>Supported, infrastructure-heavy</w:t>
            </w:r>
          </w:p>
        </w:tc>
        <w:tc>
          <w:tcPr>
            <w:tcW w:type="dxa" w:w="2822"/>
            <w:vAlign w:val="center"/>
            <w:tcBorders>
              <w:top w:val="single" w:sz="6" w:color="D9E1E8"/>
              <w:left w:val="single" w:sz="6" w:color="D9E1E8"/>
              <w:bottom w:val="single" w:sz="6" w:color="D9E1E8"/>
              <w:right w:val="single" w:sz="6" w:color="D9E1E8"/>
              <w:insideH w:val="single" w:sz="6" w:color="D9E1E8"/>
              <w:insideV w:val="single" w:sz="6" w:color="D9E1E8"/>
            </w:tcBorders>
            <w:shd w:fill="FFF4D6" w:val="clear"/>
            <w:tcMar>
              <w:top w:w="80" w:type="dxa"/>
              <w:bottom w:w="80" w:type="dxa"/>
              <w:start w:w="120" w:type="dxa"/>
              <w:end w:w="120" w:type="dxa"/>
            </w:tcMar>
          </w:tcPr>
          <w:p>
            <w:pPr>
              <w:pStyle w:val="GuideTable"/>
              <w:keepNext w:val="0"/>
              <w:keepLines/>
              <w:widowControl/>
            </w:pPr>
            <w:r>
              <w:rPr>
                <w:sz w:val="16"/>
              </w:rPr>
              <w:t>It needs CPU workers, embedding GPUs, storage, and a separate LLM endpoint.</w:t>
            </w:r>
          </w:p>
        </w:tc>
      </w:tr>
      <w:tr>
        <w:trPr>
          <w:cantSplit/>
          <w:trHeight w:hRule="auto"/>
        </w:trPr>
        <w:tc>
          <w:tcPr>
            <w:tcW w:type="dxa" w:w="3028"/>
            <w:vAlign w:val="center"/>
            <w:tcBorders>
              <w:top w:val="single" w:sz="6" w:color="D9E1E8"/>
              <w:left w:val="single" w:sz="6" w:color="D9E1E8"/>
              <w:bottom w:val="single" w:sz="6" w:color="D9E1E8"/>
              <w:right w:val="single" w:sz="6" w:color="D9E1E8"/>
              <w:insideH w:val="single" w:sz="6" w:color="D9E1E8"/>
              <w:insideV w:val="single" w:sz="6" w:color="D9E1E8"/>
            </w:tcBorders>
            <w:shd w:fill="FBE9E7" w:val="clear"/>
            <w:tcMar>
              <w:top w:w="80" w:type="dxa"/>
              <w:bottom w:w="80" w:type="dxa"/>
              <w:start w:w="120" w:type="dxa"/>
              <w:end w:w="120" w:type="dxa"/>
            </w:tcMar>
          </w:tcPr>
          <w:p>
            <w:pPr>
              <w:pStyle w:val="GuideTable"/>
              <w:keepNext w:val="0"/>
              <w:keepLines/>
              <w:widowControl/>
            </w:pPr>
            <w:r>
              <w:rPr>
                <w:sz w:val="16"/>
              </w:rPr>
              <w:t>Image generation, text-to-speech, or video</w:t>
            </w:r>
          </w:p>
        </w:tc>
        <w:tc>
          <w:tcPr>
            <w:tcW w:type="dxa" w:w="1652"/>
            <w:vAlign w:val="center"/>
            <w:tcBorders>
              <w:top w:val="single" w:sz="6" w:color="D9E1E8"/>
              <w:left w:val="single" w:sz="6" w:color="D9E1E8"/>
              <w:bottom w:val="single" w:sz="6" w:color="D9E1E8"/>
              <w:right w:val="single" w:sz="6" w:color="D9E1E8"/>
              <w:insideH w:val="single" w:sz="6" w:color="D9E1E8"/>
              <w:insideV w:val="single" w:sz="6" w:color="D9E1E8"/>
            </w:tcBorders>
            <w:shd w:fill="FBE9E7" w:val="clear"/>
            <w:tcMar>
              <w:top w:w="80" w:type="dxa"/>
              <w:bottom w:w="80" w:type="dxa"/>
              <w:start w:w="120" w:type="dxa"/>
              <w:end w:w="120" w:type="dxa"/>
            </w:tcMar>
          </w:tcPr>
          <w:p>
            <w:pPr>
              <w:pStyle w:val="GuideTable"/>
              <w:keepNext w:val="0"/>
              <w:keepLines/>
              <w:widowControl/>
            </w:pPr>
            <w:r>
              <w:rPr>
                <w:sz w:val="16"/>
              </w:rPr>
              <w:t>Not documented locally</w:t>
            </w:r>
          </w:p>
        </w:tc>
        <w:tc>
          <w:tcPr>
            <w:tcW w:type="dxa" w:w="1858"/>
            <w:vAlign w:val="center"/>
            <w:tcBorders>
              <w:top w:val="single" w:sz="6" w:color="D9E1E8"/>
              <w:left w:val="single" w:sz="6" w:color="D9E1E8"/>
              <w:bottom w:val="single" w:sz="6" w:color="D9E1E8"/>
              <w:right w:val="single" w:sz="6" w:color="D9E1E8"/>
              <w:insideH w:val="single" w:sz="6" w:color="D9E1E8"/>
              <w:insideV w:val="single" w:sz="6" w:color="D9E1E8"/>
            </w:tcBorders>
            <w:shd w:fill="FBE9E7" w:val="clear"/>
            <w:tcMar>
              <w:top w:w="80" w:type="dxa"/>
              <w:bottom w:w="80" w:type="dxa"/>
              <w:start w:w="120" w:type="dxa"/>
              <w:end w:w="120" w:type="dxa"/>
            </w:tcMar>
          </w:tcPr>
          <w:p>
            <w:pPr>
              <w:pStyle w:val="GuideTable"/>
              <w:keepNext w:val="0"/>
              <w:keepLines/>
              <w:widowControl/>
            </w:pPr>
            <w:r>
              <w:rPr>
                <w:sz w:val="16"/>
              </w:rPr>
              <w:t>Not documented locally</w:t>
            </w:r>
          </w:p>
        </w:tc>
        <w:tc>
          <w:tcPr>
            <w:tcW w:type="dxa" w:w="2822"/>
            <w:vAlign w:val="center"/>
            <w:tcBorders>
              <w:top w:val="single" w:sz="6" w:color="D9E1E8"/>
              <w:left w:val="single" w:sz="6" w:color="D9E1E8"/>
              <w:bottom w:val="single" w:sz="6" w:color="D9E1E8"/>
              <w:right w:val="single" w:sz="6" w:color="D9E1E8"/>
              <w:insideH w:val="single" w:sz="6" w:color="D9E1E8"/>
              <w:insideV w:val="single" w:sz="6" w:color="D9E1E8"/>
            </w:tcBorders>
            <w:shd w:fill="FBE9E7" w:val="clear"/>
            <w:tcMar>
              <w:top w:w="80" w:type="dxa"/>
              <w:bottom w:w="80" w:type="dxa"/>
              <w:start w:w="120" w:type="dxa"/>
              <w:end w:w="120" w:type="dxa"/>
            </w:tcMar>
          </w:tcPr>
          <w:p>
            <w:pPr>
              <w:pStyle w:val="GuideTable"/>
              <w:keepNext w:val="0"/>
              <w:keepLines/>
              <w:widowControl/>
            </w:pPr>
            <w:r>
              <w:rPr>
                <w:sz w:val="16"/>
              </w:rPr>
              <w:t>Use a runtime and catalog that explicitly support the required modality.</w:t>
            </w:r>
          </w:p>
        </w:tc>
      </w:tr>
      <w:tr>
        <w:trPr>
          <w:cantSplit/>
          <w:trHeight w:hRule="auto"/>
        </w:trPr>
        <w:tc>
          <w:tcPr>
            <w:tcW w:type="dxa" w:w="3028"/>
            <w:vAlign w:val="center"/>
            <w:tcBorders>
              <w:top w:val="single" w:sz="6" w:color="D9E1E8"/>
              <w:left w:val="single" w:sz="6" w:color="D9E1E8"/>
              <w:bottom w:val="single" w:sz="6" w:color="D9E1E8"/>
              <w:right w:val="single" w:sz="6" w:color="D9E1E8"/>
              <w:insideH w:val="single" w:sz="6" w:color="D9E1E8"/>
              <w:insideV w:val="single" w:sz="6" w:color="D9E1E8"/>
            </w:tcBorders>
            <w:shd w:fill="FBE9E7" w:val="clear"/>
            <w:tcMar>
              <w:top w:w="80" w:type="dxa"/>
              <w:bottom w:w="80" w:type="dxa"/>
              <w:start w:w="120" w:type="dxa"/>
              <w:end w:w="120" w:type="dxa"/>
            </w:tcMar>
          </w:tcPr>
          <w:p>
            <w:pPr>
              <w:pStyle w:val="GuideTable"/>
              <w:keepNext w:val="0"/>
              <w:keepLines/>
              <w:widowControl/>
            </w:pPr>
            <w:r>
              <w:rPr>
                <w:sz w:val="16"/>
              </w:rPr>
              <w:t>70B-class or larger shared model</w:t>
            </w:r>
          </w:p>
        </w:tc>
        <w:tc>
          <w:tcPr>
            <w:tcW w:type="dxa" w:w="1652"/>
            <w:vAlign w:val="center"/>
            <w:tcBorders>
              <w:top w:val="single" w:sz="6" w:color="D9E1E8"/>
              <w:left w:val="single" w:sz="6" w:color="D9E1E8"/>
              <w:bottom w:val="single" w:sz="6" w:color="D9E1E8"/>
              <w:right w:val="single" w:sz="6" w:color="D9E1E8"/>
              <w:insideH w:val="single" w:sz="6" w:color="D9E1E8"/>
              <w:insideV w:val="single" w:sz="6" w:color="D9E1E8"/>
            </w:tcBorders>
            <w:shd w:fill="FBE9E7" w:val="clear"/>
            <w:tcMar>
              <w:top w:w="80" w:type="dxa"/>
              <w:bottom w:w="80" w:type="dxa"/>
              <w:start w:w="120" w:type="dxa"/>
              <w:end w:w="120" w:type="dxa"/>
            </w:tcMar>
          </w:tcPr>
          <w:p>
            <w:pPr>
              <w:pStyle w:val="GuideTable"/>
              <w:keepNext w:val="0"/>
              <w:keepLines/>
              <w:widowControl/>
            </w:pPr>
            <w:r>
              <w:rPr>
                <w:sz w:val="16"/>
              </w:rPr>
              <w:t>Not a fit</w:t>
            </w:r>
          </w:p>
        </w:tc>
        <w:tc>
          <w:tcPr>
            <w:tcW w:type="dxa" w:w="1858"/>
            <w:vAlign w:val="center"/>
            <w:tcBorders>
              <w:top w:val="single" w:sz="6" w:color="D9E1E8"/>
              <w:left w:val="single" w:sz="6" w:color="D9E1E8"/>
              <w:bottom w:val="single" w:sz="6" w:color="D9E1E8"/>
              <w:right w:val="single" w:sz="6" w:color="D9E1E8"/>
              <w:insideH w:val="single" w:sz="6" w:color="D9E1E8"/>
              <w:insideV w:val="single" w:sz="6" w:color="D9E1E8"/>
            </w:tcBorders>
            <w:shd w:fill="FBE9E7" w:val="clear"/>
            <w:tcMar>
              <w:top w:w="80" w:type="dxa"/>
              <w:bottom w:w="80" w:type="dxa"/>
              <w:start w:w="120" w:type="dxa"/>
              <w:end w:w="120" w:type="dxa"/>
            </w:tcMar>
          </w:tcPr>
          <w:p>
            <w:pPr>
              <w:pStyle w:val="GuideTable"/>
              <w:keepNext w:val="0"/>
              <w:keepLines/>
              <w:widowControl/>
            </w:pPr>
            <w:r>
              <w:rPr>
                <w:sz w:val="16"/>
              </w:rPr>
              <w:t>BYO validation only</w:t>
            </w:r>
          </w:p>
        </w:tc>
        <w:tc>
          <w:tcPr>
            <w:tcW w:type="dxa" w:w="2822"/>
            <w:vAlign w:val="center"/>
            <w:tcBorders>
              <w:top w:val="single" w:sz="6" w:color="D9E1E8"/>
              <w:left w:val="single" w:sz="6" w:color="D9E1E8"/>
              <w:bottom w:val="single" w:sz="6" w:color="D9E1E8"/>
              <w:right w:val="single" w:sz="6" w:color="D9E1E8"/>
              <w:insideH w:val="single" w:sz="6" w:color="D9E1E8"/>
              <w:insideV w:val="single" w:sz="6" w:color="D9E1E8"/>
            </w:tcBorders>
            <w:shd w:fill="FBE9E7" w:val="clear"/>
            <w:tcMar>
              <w:top w:w="80" w:type="dxa"/>
              <w:bottom w:w="80" w:type="dxa"/>
              <w:start w:w="120" w:type="dxa"/>
              <w:end w:w="120" w:type="dxa"/>
            </w:tcMar>
          </w:tcPr>
          <w:p>
            <w:pPr>
              <w:pStyle w:val="GuideTable"/>
              <w:keepNext w:val="0"/>
              <w:keepLines/>
              <w:widowControl/>
            </w:pPr>
            <w:r>
              <w:rPr>
                <w:sz w:val="16"/>
              </w:rPr>
              <w:t>This is not a published baseline and likely requires multi-GPU testing.</w:t>
            </w:r>
          </w:p>
        </w:tc>
      </w:tr>
    </w:tbl>
    <w:p>
      <w:pPr>
        <w:spacing w:after="0" w:line="240" w:lineRule="auto"/>
      </w:pPr>
    </w:p>
    <w:p>
      <w:pPr>
        <w:pStyle w:val="TableCitation"/>
        <w:keepNext w:val="0"/>
        <w:keepLines/>
        <w:widowControl/>
      </w:pPr>
      <w:r>
        <w:t>Fit labels describe the documented product boundary. They are not model-specific performance guarantees.</w:t>
      </w:r>
    </w:p>
    <w:p>
      <w:r>
        <w:br w:type="page"/>
      </w:r>
    </w:p>
    <w:p>
      <w:pPr>
        <w:pStyle w:val="Heading2"/>
      </w:pPr>
      <w:r>
        <w:t>Why an LLM can run on a laptop</w:t>
      </w:r>
    </w:p>
    <w:p>
      <w:pPr>
        <w:keepNext w:val="0"/>
        <w:keepLines/>
        <w:widowControl/>
      </w:pPr>
      <w:r>
        <w:t>Large language model describes a model family, not a fixed hardware bill. Selected local models are practical because:</w:t>
      </w:r>
    </w:p>
    <w:p>
      <w:pPr>
        <w:pStyle w:val="ListBullet"/>
        <w:keepNext w:val="0"/>
        <w:keepLines/>
        <w:widowControl/>
      </w:pPr>
      <w:r>
        <w:t>The catalog includes small and medium models, not only frontier-scale models.</w:t>
      </w:r>
    </w:p>
    <w:p>
      <w:pPr>
        <w:pStyle w:val="ListBullet"/>
        <w:keepNext w:val="0"/>
        <w:keepLines/>
        <w:widowControl/>
      </w:pPr>
      <w:r>
        <w:t>Quantization stores weights at lower precision and reduces disk and memory use.</w:t>
      </w:r>
    </w:p>
    <w:p>
      <w:pPr>
        <w:pStyle w:val="ListBullet"/>
        <w:keepNext w:val="0"/>
        <w:keepLines/>
        <w:widowControl/>
      </w:pPr>
      <w:r>
        <w:t>One-user execution avoids reserving capacity for many simultaneous requests.</w:t>
      </w:r>
    </w:p>
    <w:p>
      <w:pPr>
        <w:pStyle w:val="ListBullet"/>
        <w:keepNext w:val="0"/>
        <w:keepLines/>
        <w:widowControl/>
      </w:pPr>
      <w:r>
        <w:t>CPU fallback makes a dedicated accelerator optional for compatible variants, although latency may be higher.</w:t>
      </w:r>
    </w:p>
    <w:tbl>
      <w:tblPr>
        <w:tblStyle w:val="TableGrid"/>
        <w:tblW w:type="dxa" w:w="9360"/>
        <w:jc w:val="left"/>
        <w:tblLayout w:type="fixed"/>
        <w:tblLook w:firstColumn="1" w:firstRow="1" w:lastColumn="0" w:lastRow="0" w:noHBand="0" w:noVBand="1" w:val="04A0"/>
        <w:tblInd w:type="dxa" w:w="120"/>
      </w:tblPr>
      <w:tblGrid>
        <w:gridCol w:w="9360"/>
      </w:tblGrid>
      <w:tr>
        <w:trPr>
          <w:trHeight w:hRule="auto"/>
          <w:tblHeader w:val="true"/>
          <w:cantSplit/>
        </w:trPr>
        <w:tc>
          <w:tcPr>
            <w:tcW w:type="dxa" w:w="9360"/>
            <w:shd w:fill="FFF4D6" w:val="clear"/>
            <w:tcBorders>
              <w:top w:val="single" w:sz="10" w:color="2E74B5"/>
              <w:left w:val="single" w:sz="10" w:color="2E74B5"/>
              <w:bottom w:val="single" w:sz="10" w:color="2E74B5"/>
              <w:right w:val="single" w:sz="10" w:color="2E74B5"/>
              <w:insideH w:val="single" w:sz="10" w:color="2E74B5"/>
              <w:insideV w:val="single" w:sz="10" w:color="2E74B5"/>
            </w:tcBorders>
            <w:vAlign w:val="center"/>
            <w:tcMar>
              <w:top w:w="80" w:type="dxa"/>
              <w:bottom w:w="80" w:type="dxa"/>
              <w:start w:w="120" w:type="dxa"/>
              <w:end w:w="120" w:type="dxa"/>
            </w:tcMar>
          </w:tcPr>
          <w:p>
            <w:pPr>
              <w:pStyle w:val="GuideCallout"/>
            </w:pPr>
            <w:r>
              <w:t>A useful scale example</w:t>
            </w:r>
          </w:p>
          <w:p>
            <w:pPr>
              <w:pStyle w:val="GuideSmall"/>
            </w:pPr>
            <w:r>
              <w:rPr>
                <w:color w:val="1F2933"/>
              </w:rPr>
              <w:t>Microsoft's Windows tutorial downloads a Phi-3.5 Mini variant of approximately 2.53 GB. File size is not the RAM requirement: the operating system, application, runtime, context, and key-value cache also use memory.</w:t>
            </w:r>
          </w:p>
        </w:tc>
      </w:tr>
    </w:tbl>
    <w:p>
      <w:pPr>
        <w:spacing w:after="40"/>
      </w:pPr>
    </w:p>
    <w:p>
      <w:pPr>
        <w:pStyle w:val="Heading1"/>
      </w:pPr>
      <w:r>
        <w:t>1. Foundry Local</w:t>
      </w:r>
    </w:p>
    <w:p>
      <w:pPr>
        <w:pStyle w:val="Heading2"/>
      </w:pPr>
      <w:r>
        <w:t>Product boundary</w:t>
      </w:r>
    </w:p>
    <w:p>
      <w:pPr>
        <w:keepNext w:val="0"/>
        <w:keepLines/>
        <w:widowControl/>
      </w:pPr>
      <w:r>
        <w:t>Foundry Local is an on-device runtime for Windows, Linux, and Apple-silicon macOS. It selects a compatible model variant and execution provider, and it can fall back to CPU when no supported accelerator is available.</w:t>
      </w:r>
    </w:p>
    <w:p>
      <w:pPr>
        <w:keepNext w:val="0"/>
        <w:keepLines/>
        <w:widowControl/>
      </w:pPr>
      <w:r>
        <w:t>It is not a distributed, containerized, or multi-machine production inference stack. Its optional local server does not add concurrent request queueing, continuous batching, or multi-user capacity management.</w:t>
      </w:r>
    </w:p>
    <w:tbl>
      <w:tblPr>
        <w:tblStyle w:val="TableGrid"/>
        <w:tblW w:type="dxa" w:w="9360"/>
        <w:jc w:val="left"/>
        <w:tblLayout w:type="fixed"/>
        <w:tblLook w:firstColumn="1" w:firstRow="1" w:lastColumn="0" w:lastRow="0" w:noHBand="0" w:noVBand="1" w:val="04A0"/>
        <w:tblInd w:type="dxa" w:w="120"/>
      </w:tblPr>
      <w:tblGrid>
        <w:gridCol w:w="9360"/>
      </w:tblGrid>
      <w:tr>
        <w:trPr>
          <w:trHeight w:hRule="auto"/>
          <w:tblHeader w:val="true"/>
          <w:cantSplit/>
        </w:trPr>
        <w:tc>
          <w:tcPr>
            <w:tcW w:type="dxa" w:w="9360"/>
            <w:shd w:fill="FBE9E7" w:val="clear"/>
            <w:tcBorders>
              <w:top w:val="single" w:sz="10" w:color="2E74B5"/>
              <w:left w:val="single" w:sz="10" w:color="2E74B5"/>
              <w:bottom w:val="single" w:sz="10" w:color="2E74B5"/>
              <w:right w:val="single" w:sz="10" w:color="2E74B5"/>
              <w:insideH w:val="single" w:sz="10" w:color="2E74B5"/>
              <w:insideV w:val="single" w:sz="10" w:color="2E74B5"/>
            </w:tcBorders>
            <w:vAlign w:val="center"/>
            <w:tcMar>
              <w:top w:w="80" w:type="dxa"/>
              <w:bottom w:w="80" w:type="dxa"/>
              <w:start w:w="120" w:type="dxa"/>
              <w:end w:w="120" w:type="dxa"/>
            </w:tcMar>
          </w:tcPr>
          <w:p>
            <w:pPr>
              <w:pStyle w:val="GuideCallout"/>
            </w:pPr>
            <w:r>
              <w:t>When to stop sizing the device product</w:t>
            </w:r>
          </w:p>
          <w:p>
            <w:pPr>
              <w:pStyle w:val="GuideSmall"/>
            </w:pPr>
            <w:r>
              <w:rPr>
                <w:color w:val="1F2933"/>
              </w:rPr>
              <w:t>If the requirement includes simultaneous users, a throughput commitment, high availability, shared GPU scheduling, or multiple governed endpoints, use Foundry Local on Azure Local or another server inference platform.</w:t>
            </w:r>
          </w:p>
        </w:tc>
      </w:tr>
    </w:tbl>
    <w:p>
      <w:pPr>
        <w:spacing w:after="40"/>
      </w:pPr>
    </w:p>
    <w:p>
      <w:pPr>
        <w:pStyle w:val="Heading2"/>
      </w:pPr>
      <w:r>
        <w:t>Published hardware floor</w:t>
      </w:r>
    </w:p>
    <w:p>
      <w:pPr>
        <w:keepNext w:val="0"/>
        <w:keepLines/>
        <w:widowControl/>
      </w:pPr>
      <w:r>
        <w:t>Microsoft's current product documentation publishes no universal minimum for CPU cores, system RAM, free disk, GPU memory, or NPU throughput. A Windows AI WinML tutorial lists Windows 11 24H2, .NET 9, and a DirectX 12 GPU for that sample path. Those sample prerequisites are not a product-wide floor for the cross-platform SDK.</w:t>
      </w:r>
    </w:p>
    <w:p>
      <w:r>
        <w:br w:type="page"/>
      </w:r>
    </w:p>
    <w:p>
      <w:pPr>
        <w:pStyle w:val="ListNumber"/>
        <w:keepNext w:val="0"/>
        <w:keepLines/>
        <w:widowControl/>
      </w:pPr>
      <w:r>
        <w:t>Confirm that the operating system and execution provider are supported.</w:t>
      </w:r>
    </w:p>
    <w:p>
      <w:pPr>
        <w:pStyle w:val="ListNumber"/>
        <w:keepNext w:val="0"/>
        <w:keepLines/>
        <w:widowControl/>
      </w:pPr>
      <w:r>
        <w:t>Run foundry model info &lt;model&gt; on the target device and select the exact variant.</w:t>
      </w:r>
    </w:p>
    <w:p>
      <w:pPr>
        <w:pStyle w:val="ListNumber"/>
        <w:keepNext w:val="0"/>
        <w:keepLines/>
        <w:widowControl/>
      </w:pPr>
      <w:r>
        <w:t>Confirm that memory can hold weights, runtime state, context, and key-value cache.</w:t>
      </w:r>
    </w:p>
    <w:p>
      <w:pPr>
        <w:pStyle w:val="ListNumber"/>
        <w:keepNext w:val="0"/>
        <w:keepLines/>
        <w:widowControl/>
      </w:pPr>
      <w:r>
        <w:t>Reserve disk for the model and downloaded execution providers.</w:t>
      </w:r>
    </w:p>
    <w:p>
      <w:pPr>
        <w:pStyle w:val="ListNumber"/>
        <w:keepNext w:val="0"/>
        <w:keepLines/>
        <w:widowControl/>
      </w:pPr>
      <w:r>
        <w:t>Measure first-token latency, output rate, and peak memory with representative prompts.</w:t>
      </w:r>
    </w:p>
    <w:p>
      <w:pPr>
        <w:pStyle w:val="Heading2"/>
      </w:pPr>
      <w:r>
        <w:t>Supported accelerator paths</w:t>
      </w:r>
    </w:p>
    <w:tbl>
      <w:tblPr>
        <w:tblStyle w:val="TableGrid"/>
        <w:tblW w:type="dxa" w:w="9360"/>
        <w:jc w:val="left"/>
        <w:tblLayout w:type="fixed"/>
        <w:tblLook w:firstColumn="1" w:firstRow="1" w:lastColumn="0" w:lastRow="0" w:noHBand="0" w:noVBand="1" w:val="04A0"/>
        <w:tblInd w:type="dxa" w:w="120"/>
      </w:tblPr>
      <w:tblGrid>
        <w:gridCol w:w="1944"/>
        <w:gridCol w:w="3096"/>
        <w:gridCol w:w="4320"/>
      </w:tblGrid>
      <w:tr>
        <w:trPr>
          <w:trHeight w:hRule="auto"/>
          <w:tblHeader w:val="true"/>
          <w:cantSplit/>
        </w:trPr>
        <w:tc>
          <w:tcPr>
            <w:tcW w:type="dxa" w:w="1944"/>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7"/>
              </w:rPr>
              <w:t>Platform</w:t>
            </w:r>
          </w:p>
        </w:tc>
        <w:tc>
          <w:tcPr>
            <w:tcW w:type="dxa" w:w="3096"/>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7"/>
              </w:rPr>
              <w:t>Execution path</w:t>
            </w:r>
          </w:p>
        </w:tc>
        <w:tc>
          <w:tcPr>
            <w:tcW w:type="dxa" w:w="4320"/>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7"/>
              </w:rPr>
              <w:t>Published boundary</w:t>
            </w:r>
          </w:p>
        </w:tc>
      </w:tr>
      <w:tr>
        <w:trPr>
          <w:cantSplit/>
          <w:trHeight w:hRule="auto"/>
        </w:trPr>
        <w:tc>
          <w:tcPr>
            <w:tcW w:type="dxa" w:w="1944"/>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CPU</w:t>
            </w:r>
          </w:p>
        </w:tc>
        <w:tc>
          <w:tcPr>
            <w:tcW w:type="dxa" w:w="309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CPU execution provider</w:t>
            </w:r>
          </w:p>
        </w:tc>
        <w:tc>
          <w:tcPr>
            <w:tcW w:type="dxa" w:w="432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Universal fallback. No minimum generation or core count is published.</w:t>
            </w:r>
          </w:p>
        </w:tc>
      </w:tr>
      <w:tr>
        <w:trPr>
          <w:cantSplit/>
          <w:trHeight w:hRule="auto"/>
        </w:trPr>
        <w:tc>
          <w:tcPr>
            <w:tcW w:type="dxa" w:w="1944"/>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Apple silicon</w:t>
            </w:r>
          </w:p>
        </w:tc>
        <w:tc>
          <w:tcPr>
            <w:tcW w:type="dxa" w:w="309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WebGPU through Dawn and Metal; CPU fallback</w:t>
            </w:r>
          </w:p>
        </w:tc>
        <w:tc>
          <w:tcPr>
            <w:tcW w:type="dxa" w:w="432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Intel Mac is not listed. No minimum chip or unified memory amount is published.</w:t>
            </w:r>
          </w:p>
        </w:tc>
      </w:tr>
      <w:tr>
        <w:trPr>
          <w:cantSplit/>
          <w:trHeight w:hRule="auto"/>
        </w:trPr>
        <w:tc>
          <w:tcPr>
            <w:tcW w:type="dxa" w:w="1944"/>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NVIDIA GPU</w:t>
            </w:r>
          </w:p>
        </w:tc>
        <w:tc>
          <w:tcPr>
            <w:tcW w:type="dxa" w:w="309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CUDA, WebGPU, or TensorRT RTX</w:t>
            </w:r>
          </w:p>
        </w:tc>
        <w:tc>
          <w:tcPr>
            <w:tcW w:type="dxa" w:w="432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Current CUDA and TensorRT RTX guidance names RTX 30 series or later and current driver requirements.</w:t>
            </w:r>
          </w:p>
        </w:tc>
      </w:tr>
      <w:tr>
        <w:trPr>
          <w:cantSplit/>
          <w:trHeight w:hRule="auto"/>
        </w:trPr>
        <w:tc>
          <w:tcPr>
            <w:tcW w:type="dxa" w:w="1944"/>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Intel on Windows</w:t>
            </w:r>
          </w:p>
        </w:tc>
        <w:tc>
          <w:tcPr>
            <w:tcW w:type="dxa" w:w="309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OpenVINO on CPU, integrated GPU, or NPU</w:t>
            </w:r>
          </w:p>
        </w:tc>
        <w:tc>
          <w:tcPr>
            <w:tcW w:type="dxa" w:w="432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Tiger Lake or later CPU, Alder Lake or later GPU, Arrow Lake or later NPU, with current drivers.</w:t>
            </w:r>
          </w:p>
        </w:tc>
      </w:tr>
      <w:tr>
        <w:trPr>
          <w:cantSplit/>
          <w:trHeight w:hRule="auto"/>
        </w:trPr>
        <w:tc>
          <w:tcPr>
            <w:tcW w:type="dxa" w:w="1944"/>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Qualcomm NPU</w:t>
            </w:r>
          </w:p>
        </w:tc>
        <w:tc>
          <w:tcPr>
            <w:tcW w:type="dxa" w:w="309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Qualcomm Neural Network provider</w:t>
            </w:r>
          </w:p>
        </w:tc>
        <w:tc>
          <w:tcPr>
            <w:tcW w:type="dxa" w:w="432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Snapdragon X Elite or X Plus with driver 30.0.140.0 or later.</w:t>
            </w:r>
          </w:p>
        </w:tc>
      </w:tr>
      <w:tr>
        <w:trPr>
          <w:cantSplit/>
          <w:trHeight w:hRule="auto"/>
        </w:trPr>
        <w:tc>
          <w:tcPr>
            <w:tcW w:type="dxa" w:w="1944"/>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AMD NPU</w:t>
            </w:r>
          </w:p>
        </w:tc>
        <w:tc>
          <w:tcPr>
            <w:tcW w:type="dxa" w:w="309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Vitis AI provider</w:t>
            </w:r>
          </w:p>
        </w:tc>
        <w:tc>
          <w:tcPr>
            <w:tcW w:type="dxa" w:w="432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A bounded driver range applies. Check both the minimum and maximum.</w:t>
            </w:r>
          </w:p>
        </w:tc>
      </w:tr>
      <w:tr>
        <w:trPr>
          <w:cantSplit/>
          <w:trHeight w:hRule="auto"/>
        </w:trPr>
        <w:tc>
          <w:tcPr>
            <w:tcW w:type="dxa" w:w="1944"/>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Other compatible GPU</w:t>
            </w:r>
          </w:p>
        </w:tc>
        <w:tc>
          <w:tcPr>
            <w:tcW w:type="dxa" w:w="309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WebGPU through Dawn</w:t>
            </w:r>
          </w:p>
        </w:tc>
        <w:tc>
          <w:tcPr>
            <w:tcW w:type="dxa" w:w="432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Generic fallback; the model still needs a compatible catalog variant.</w:t>
            </w:r>
          </w:p>
        </w:tc>
      </w:tr>
    </w:tbl>
    <w:p>
      <w:pPr>
        <w:spacing w:after="0" w:line="240" w:lineRule="auto"/>
      </w:pPr>
    </w:p>
    <w:p>
      <w:pPr>
        <w:pStyle w:val="TableCitation"/>
        <w:keepNext w:val="0"/>
        <w:keepLines/>
        <w:widowControl/>
      </w:pPr>
      <w:r>
        <w:t>Source: Foundry Local CLI execution-provider compatibility table.</w:t>
      </w:r>
    </w:p>
    <w:p>
      <w:pPr>
        <w:pStyle w:val="Heading2"/>
      </w:pPr>
      <w:r>
        <w:t>Device planning profiles</w:t>
      </w:r>
    </w:p>
    <w:tbl>
      <w:tblPr>
        <w:tblStyle w:val="TableGrid"/>
        <w:tblW w:type="dxa" w:w="9360"/>
        <w:jc w:val="left"/>
        <w:tblLayout w:type="fixed"/>
        <w:tblLook w:firstColumn="1" w:firstRow="1" w:lastColumn="0" w:lastRow="0" w:noHBand="0" w:noVBand="1" w:val="04A0"/>
        <w:tblInd w:type="dxa" w:w="120"/>
      </w:tblPr>
      <w:tblGrid>
        <w:gridCol w:w="1746"/>
        <w:gridCol w:w="3143"/>
        <w:gridCol w:w="3143"/>
        <w:gridCol w:w="1328"/>
      </w:tblGrid>
      <w:tr>
        <w:trPr>
          <w:trHeight w:hRule="auto"/>
          <w:tblHeader w:val="true"/>
          <w:cantSplit/>
        </w:trPr>
        <w:tc>
          <w:tcPr>
            <w:tcW w:type="dxa" w:w="1746"/>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6"/>
              </w:rPr>
              <w:t>Workload</w:t>
            </w:r>
          </w:p>
        </w:tc>
        <w:tc>
          <w:tcPr>
            <w:tcW w:type="dxa" w:w="3143"/>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6"/>
              </w:rPr>
              <w:t>Published evidence</w:t>
            </w:r>
          </w:p>
        </w:tc>
        <w:tc>
          <w:tcPr>
            <w:tcW w:type="dxa" w:w="3143"/>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6"/>
              </w:rPr>
              <w:t>Planning use</w:t>
            </w:r>
          </w:p>
        </w:tc>
        <w:tc>
          <w:tcPr>
            <w:tcW w:type="dxa" w:w="1328"/>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6"/>
              </w:rPr>
              <w:t>Status</w:t>
            </w:r>
          </w:p>
        </w:tc>
      </w:tr>
      <w:tr>
        <w:trPr>
          <w:cantSplit/>
          <w:trHeight w:hRule="auto"/>
        </w:trPr>
        <w:tc>
          <w:tcPr>
            <w:tcW w:type="dxa" w:w="174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Quick install test</w:t>
            </w:r>
          </w:p>
        </w:tc>
        <w:tc>
          <w:tcPr>
            <w:tcW w:type="dxa" w:w="3143"/>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qwen2.5-0.5b is the smallest common alias; CPU fallback is supported.</w:t>
            </w:r>
          </w:p>
        </w:tc>
        <w:tc>
          <w:tcPr>
            <w:tcW w:type="dxa" w:w="3143"/>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Start on an existing supported device. Do not infer a numeric host minimum.</w:t>
            </w:r>
          </w:p>
        </w:tc>
        <w:tc>
          <w:tcPr>
            <w:tcW w:type="dxa" w:w="132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Published</w:t>
            </w:r>
          </w:p>
        </w:tc>
      </w:tr>
      <w:tr>
        <w:trPr>
          <w:cantSplit/>
          <w:trHeight w:hRule="auto"/>
        </w:trPr>
        <w:tc>
          <w:tcPr>
            <w:tcW w:type="dxa" w:w="174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Single-user 3B to 4B chat</w:t>
            </w:r>
          </w:p>
        </w:tc>
        <w:tc>
          <w:tcPr>
            <w:tcW w:type="dxa" w:w="3143"/>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Windows tutorial model file is approximately 2.53 GB. Adjacent CPU example requests 4 CPU and 16 GiB.</w:t>
            </w:r>
          </w:p>
        </w:tc>
        <w:tc>
          <w:tcPr>
            <w:tcW w:type="dxa" w:w="3143"/>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A modern 16 to 32 GB device is a reasonable test range, not a Microsoft requirement.</w:t>
            </w:r>
          </w:p>
        </w:tc>
        <w:tc>
          <w:tcPr>
            <w:tcW w:type="dxa" w:w="132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Published plus transferred</w:t>
            </w:r>
          </w:p>
        </w:tc>
      </w:tr>
      <w:tr>
        <w:trPr>
          <w:cantSplit/>
          <w:trHeight w:hRule="auto"/>
        </w:trPr>
        <w:tc>
          <w:tcPr>
            <w:tcW w:type="dxa" w:w="174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Single-user 7B chat</w:t>
            </w:r>
          </w:p>
        </w:tc>
        <w:tc>
          <w:tcPr>
            <w:tcW w:type="dxa" w:w="3143"/>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Qwen 2.5 7B and DeepSeek R1 7B are common aliases; no device-memory minimum is published.</w:t>
            </w:r>
          </w:p>
        </w:tc>
        <w:tc>
          <w:tcPr>
            <w:tcW w:type="dxa" w:w="3143"/>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Test the exact quantized variant. Prefer more memory and a supported accelerator.</w:t>
            </w:r>
          </w:p>
        </w:tc>
        <w:tc>
          <w:tcPr>
            <w:tcW w:type="dxa" w:w="132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Numeric requirement unknown</w:t>
            </w:r>
          </w:p>
        </w:tc>
      </w:tr>
      <w:tr>
        <w:trPr>
          <w:cantSplit/>
          <w:trHeight w:hRule="auto"/>
        </w:trPr>
        <w:tc>
          <w:tcPr>
            <w:tcW w:type="dxa" w:w="174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Single-user 20B reasoning</w:t>
            </w:r>
          </w:p>
        </w:tc>
        <w:tc>
          <w:tcPr>
            <w:tcW w:type="dxa" w:w="3143"/>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The catalog covers GPT OSS. Azure Local publishes 24 GB minimum and 48 GB recommended GPU memory for GPT-OSS-20B hosting.</w:t>
            </w:r>
          </w:p>
        </w:tc>
        <w:tc>
          <w:tcPr>
            <w:tcW w:type="dxa" w:w="3143"/>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Use 24/48 GB only as an adjacent planning reference, not a device certification.</w:t>
            </w:r>
          </w:p>
        </w:tc>
        <w:tc>
          <w:tcPr>
            <w:tcW w:type="dxa" w:w="132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Transferred</w:t>
            </w:r>
          </w:p>
        </w:tc>
      </w:tr>
      <w:tr>
        <w:trPr>
          <w:cantSplit/>
          <w:trHeight w:hRule="auto"/>
        </w:trPr>
        <w:tc>
          <w:tcPr>
            <w:tcW w:type="dxa" w:w="174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Multi-user or availability-sensitive</w:t>
            </w:r>
          </w:p>
        </w:tc>
        <w:tc>
          <w:tcPr>
            <w:tcW w:type="dxa" w:w="3143"/>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Foundry Local is not a server inference stack.</w:t>
            </w:r>
          </w:p>
        </w:tc>
        <w:tc>
          <w:tcPr>
            <w:tcW w:type="dxa" w:w="3143"/>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Use a clustered serving platform.</w:t>
            </w:r>
          </w:p>
        </w:tc>
        <w:tc>
          <w:tcPr>
            <w:tcW w:type="dxa" w:w="132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Published boundary</w:t>
            </w:r>
          </w:p>
        </w:tc>
      </w:tr>
    </w:tbl>
    <w:p>
      <w:pPr>
        <w:spacing w:after="0" w:line="240" w:lineRule="auto"/>
      </w:pPr>
    </w:p>
    <w:p>
      <w:pPr>
        <w:pStyle w:val="Heading2"/>
      </w:pPr>
      <w:r>
        <w:t>Device procurement checklist</w:t>
      </w:r>
    </w:p>
    <w:p>
      <w:pPr>
        <w:pStyle w:val="ListBullet"/>
        <w:keepNext w:val="0"/>
        <w:keepLines/>
        <w:widowControl/>
      </w:pPr>
      <w:r>
        <w:t>Test the exact model alias and selected execution provider before purchase.</w:t>
      </w:r>
    </w:p>
    <w:p>
      <w:pPr>
        <w:pStyle w:val="ListBullet"/>
        <w:keepNext w:val="0"/>
        <w:keepLines/>
        <w:widowControl/>
      </w:pPr>
      <w:r>
        <w:t>Budget memory for the OS, application, weights, context, and cache.</w:t>
      </w:r>
    </w:p>
    <w:p>
      <w:pPr>
        <w:pStyle w:val="ListBullet"/>
        <w:keepNext w:val="0"/>
        <w:keepLines/>
        <w:widowControl/>
      </w:pPr>
      <w:r>
        <w:t>On Apple silicon, remember that unified memory is shared with the OS and application.</w:t>
      </w:r>
    </w:p>
    <w:p>
      <w:pPr>
        <w:pStyle w:val="ListBullet"/>
        <w:keepNext w:val="0"/>
        <w:keepLines/>
        <w:widowControl/>
      </w:pPr>
      <w:r>
        <w:t>On Windows, prefer a current accelerator with a documented execution-provider path.</w:t>
      </w:r>
    </w:p>
    <w:p>
      <w:pPr>
        <w:pStyle w:val="ListBullet"/>
        <w:keepNext w:val="0"/>
        <w:keepLines/>
        <w:widowControl/>
      </w:pPr>
      <w:r>
        <w:t>Do not convert a transferred test range into a vendor support claim.</w:t>
      </w:r>
    </w:p>
    <w:p>
      <w:pPr>
        <w:pStyle w:val="Heading1"/>
      </w:pPr>
      <w:r>
        <w:t>2. Foundry Local on Azure Local</w:t>
      </w:r>
    </w:p>
    <w:tbl>
      <w:tblPr>
        <w:tblStyle w:val="TableGrid"/>
        <w:tblW w:type="dxa" w:w="9360"/>
        <w:jc w:val="left"/>
        <w:tblLayout w:type="fixed"/>
        <w:tblLook w:firstColumn="1" w:firstRow="1" w:lastColumn="0" w:lastRow="0" w:noHBand="0" w:noVBand="1" w:val="04A0"/>
        <w:tblInd w:type="dxa" w:w="120"/>
      </w:tblPr>
      <w:tblGrid>
        <w:gridCol w:w="9360"/>
      </w:tblGrid>
      <w:tr>
        <w:trPr>
          <w:trHeight w:hRule="auto"/>
          <w:tblHeader w:val="true"/>
          <w:cantSplit/>
        </w:trPr>
        <w:tc>
          <w:tcPr>
            <w:tcW w:type="dxa" w:w="9360"/>
            <w:shd w:fill="FFF4D6" w:val="clear"/>
            <w:tcBorders>
              <w:top w:val="single" w:sz="10" w:color="2E74B5"/>
              <w:left w:val="single" w:sz="10" w:color="2E74B5"/>
              <w:bottom w:val="single" w:sz="10" w:color="2E74B5"/>
              <w:right w:val="single" w:sz="10" w:color="2E74B5"/>
              <w:insideH w:val="single" w:sz="10" w:color="2E74B5"/>
              <w:insideV w:val="single" w:sz="10" w:color="2E74B5"/>
            </w:tcBorders>
            <w:vAlign w:val="center"/>
            <w:tcMar>
              <w:top w:w="80" w:type="dxa"/>
              <w:bottom w:w="80" w:type="dxa"/>
              <w:start w:w="120" w:type="dxa"/>
              <w:end w:w="120" w:type="dxa"/>
            </w:tcMar>
          </w:tcPr>
          <w:p>
            <w:pPr>
              <w:pStyle w:val="GuideCallout"/>
            </w:pPr>
            <w:r>
              <w:t>Critical terminology correction</w:t>
            </w:r>
          </w:p>
          <w:p>
            <w:pPr>
              <w:pStyle w:val="GuideSmall"/>
            </w:pPr>
            <w:r>
              <w:rPr>
                <w:color w:val="1F2933"/>
              </w:rPr>
              <w:t>Standard_D4s_v3, Standard_D8s_v3, Standard_NC8_A2, and related names are AKS Arc node-size profile labels in this context. They describe local worker VM allocations backed by customer-owned Azure Local hardware. They are not Azure public-cloud VM purchases, regional capacity promises, or physical server SKUs.</w:t>
            </w:r>
          </w:p>
        </w:tc>
      </w:tr>
    </w:tbl>
    <w:p>
      <w:pPr>
        <w:spacing w:after="40"/>
      </w:pPr>
    </w:p>
    <w:p>
      <w:pPr>
        <w:pStyle w:val="Heading2"/>
      </w:pPr>
      <w:r>
        <w:t>Platform floor: actual capacity first</w:t>
      </w:r>
    </w:p>
    <w:tbl>
      <w:tblPr>
        <w:tblStyle w:val="TableGrid"/>
        <w:tblW w:type="dxa" w:w="9360"/>
        <w:jc w:val="left"/>
        <w:tblLayout w:type="fixed"/>
        <w:tblLook w:firstColumn="1" w:firstRow="1" w:lastColumn="0" w:lastRow="0" w:noHBand="0" w:noVBand="1" w:val="04A0"/>
        <w:tblInd w:type="dxa" w:w="120"/>
      </w:tblPr>
      <w:tblGrid>
        <w:gridCol w:w="1671"/>
        <w:gridCol w:w="2875"/>
        <w:gridCol w:w="2875"/>
        <w:gridCol w:w="1939"/>
      </w:tblGrid>
      <w:tr>
        <w:trPr>
          <w:trHeight w:hRule="auto"/>
          <w:tblHeader w:val="true"/>
          <w:cantSplit/>
        </w:trPr>
        <w:tc>
          <w:tcPr>
            <w:tcW w:type="dxa" w:w="1671"/>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6"/>
              </w:rPr>
              <w:t>Requirement</w:t>
            </w:r>
          </w:p>
        </w:tc>
        <w:tc>
          <w:tcPr>
            <w:tcW w:type="dxa" w:w="2875"/>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6"/>
              </w:rPr>
              <w:t>Minimum actual capacity</w:t>
            </w:r>
          </w:p>
        </w:tc>
        <w:tc>
          <w:tcPr>
            <w:tcW w:type="dxa" w:w="2875"/>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6"/>
              </w:rPr>
              <w:t>Recommended actual capacity</w:t>
            </w:r>
          </w:p>
        </w:tc>
        <w:tc>
          <w:tcPr>
            <w:tcW w:type="dxa" w:w="1939"/>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6"/>
              </w:rPr>
              <w:t>Profile reference</w:t>
            </w:r>
          </w:p>
        </w:tc>
      </w:tr>
      <w:tr>
        <w:trPr>
          <w:cantSplit/>
          <w:trHeight w:hRule="auto"/>
        </w:trPr>
        <w:tc>
          <w:tcPr>
            <w:tcW w:type="dxa" w:w="1671"/>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Linux worker VM</w:t>
            </w:r>
          </w:p>
        </w:tc>
        <w:tc>
          <w:tcPr>
            <w:tcW w:type="dxa" w:w="2875"/>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4 vCPU; 16 GiB RAM; at least 14 GiB allocatable</w:t>
            </w:r>
          </w:p>
        </w:tc>
        <w:tc>
          <w:tcPr>
            <w:tcW w:type="dxa" w:w="2875"/>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8 vCPU; 32 GiB RAM; at least 28 GiB allocatable</w:t>
            </w:r>
          </w:p>
        </w:tc>
        <w:tc>
          <w:tcPr>
            <w:tcW w:type="dxa" w:w="1939"/>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Standard_D4s_v3; Standard_D8s_v3</w:t>
            </w:r>
          </w:p>
        </w:tc>
      </w:tr>
      <w:tr>
        <w:trPr>
          <w:cantSplit/>
          <w:trHeight w:hRule="auto"/>
        </w:trPr>
        <w:tc>
          <w:tcPr>
            <w:tcW w:type="dxa" w:w="1671"/>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Worker count</w:t>
            </w:r>
          </w:p>
        </w:tc>
        <w:tc>
          <w:tcPr>
            <w:tcW w:type="dxa" w:w="2875"/>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1</w:t>
            </w:r>
          </w:p>
        </w:tc>
        <w:tc>
          <w:tcPr>
            <w:tcW w:type="dxa" w:w="2875"/>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2 or more for availability or CPU/GPU separation</w:t>
            </w:r>
          </w:p>
        </w:tc>
        <w:tc>
          <w:tcPr>
            <w:tcW w:type="dxa" w:w="1939"/>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Node count, not a cloud SKU</w:t>
            </w:r>
          </w:p>
        </w:tc>
      </w:tr>
      <w:tr>
        <w:trPr>
          <w:cantSplit/>
          <w:trHeight w:hRule="auto"/>
        </w:trPr>
        <w:tc>
          <w:tcPr>
            <w:tcW w:type="dxa" w:w="1671"/>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Free installation capacity</w:t>
            </w:r>
          </w:p>
        </w:tc>
        <w:tc>
          <w:tcPr>
            <w:tcW w:type="dxa" w:w="2875"/>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3 vCPU and 6 GB RAM after existing workloads</w:t>
            </w:r>
          </w:p>
        </w:tc>
        <w:tc>
          <w:tcPr>
            <w:tcW w:type="dxa" w:w="2875"/>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Plan to the recommended worker capacity</w:t>
            </w:r>
          </w:p>
        </w:tc>
        <w:tc>
          <w:tcPr>
            <w:tcW w:type="dxa" w:w="1939"/>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No separate profile</w:t>
            </w:r>
          </w:p>
        </w:tc>
      </w:tr>
      <w:tr>
        <w:trPr>
          <w:cantSplit/>
          <w:trHeight w:hRule="auto"/>
        </w:trPr>
        <w:tc>
          <w:tcPr>
            <w:tcW w:type="dxa" w:w="1671"/>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vLLM model cache</w:t>
            </w:r>
          </w:p>
        </w:tc>
        <w:tc>
          <w:tcPr>
            <w:tcW w:type="dxa" w:w="2875"/>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100 GiB PVC by default</w:t>
            </w:r>
          </w:p>
        </w:tc>
        <w:tc>
          <w:tcPr>
            <w:tcW w:type="dxa" w:w="2875"/>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Increase modelCacheStorageGi when required</w:t>
            </w:r>
          </w:p>
        </w:tc>
        <w:tc>
          <w:tcPr>
            <w:tcW w:type="dxa" w:w="1939"/>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Kubernetes storage</w:t>
            </w:r>
          </w:p>
        </w:tc>
      </w:tr>
      <w:tr>
        <w:trPr>
          <w:cantSplit/>
          <w:trHeight w:hRule="auto"/>
        </w:trPr>
        <w:tc>
          <w:tcPr>
            <w:tcW w:type="dxa" w:w="1671"/>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AKS node OS disk</w:t>
            </w:r>
          </w:p>
        </w:tc>
        <w:tc>
          <w:tcPr>
            <w:tcW w:type="dxa" w:w="2875"/>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200 GB default on Azure Local 2509 and later</w:t>
            </w:r>
          </w:p>
        </w:tc>
        <w:tc>
          <w:tcPr>
            <w:tcW w:type="dxa" w:w="2875"/>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Reserve physical capacity for every node disk</w:t>
            </w:r>
          </w:p>
        </w:tc>
        <w:tc>
          <w:tcPr>
            <w:tcW w:type="dxa" w:w="1939"/>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Local virtual disk</w:t>
            </w:r>
          </w:p>
        </w:tc>
      </w:tr>
    </w:tbl>
    <w:p>
      <w:pPr>
        <w:spacing w:after="0" w:line="240" w:lineRule="auto"/>
      </w:pPr>
    </w:p>
    <w:p>
      <w:pPr>
        <w:pStyle w:val="TableCitation"/>
        <w:keepNext w:val="0"/>
        <w:keepLines/>
        <w:widowControl/>
      </w:pPr>
      <w:r>
        <w:t>Do not use the default 4-vCPU, 8-GB AKS Arc Linux worker profile. Microsoft requires at least 4 vCPU and 16 GiB RAM for this service.</w:t>
      </w:r>
    </w:p>
    <w:p>
      <w:pPr>
        <w:pStyle w:val="Heading2"/>
      </w:pPr>
      <w:r>
        <w:t>Translate worker profiles into physical servers</w:t>
      </w:r>
    </w:p>
    <w:p>
      <w:pPr>
        <w:keepNext w:val="0"/>
        <w:keepLines/>
        <w:widowControl/>
      </w:pPr>
      <w:r>
        <w:t>A node profile is a virtual allocation, not a physical bill of materials. The physical design must include:</w:t>
      </w:r>
    </w:p>
    <w:p>
      <w:pPr>
        <w:pStyle w:val="ListBullet"/>
        <w:keepNext w:val="0"/>
        <w:keepLines/>
        <w:widowControl/>
      </w:pPr>
      <w:r>
        <w:t>AKS control-plane VMs.</w:t>
      </w:r>
    </w:p>
    <w:p>
      <w:pPr>
        <w:pStyle w:val="ListBullet"/>
        <w:keepNext w:val="0"/>
        <w:keepLines/>
        <w:widowControl/>
      </w:pPr>
      <w:r>
        <w:t>Every CPU and GPU worker VM at full configured vCPU and RAM.</w:t>
      </w:r>
    </w:p>
    <w:p>
      <w:pPr>
        <w:pStyle w:val="ListBullet"/>
        <w:keepNext w:val="0"/>
        <w:keepLines/>
        <w:widowControl/>
      </w:pPr>
      <w:r>
        <w:t>Whole supported NVIDIA GPUs assigned through DDA to Linux worker VMs.</w:t>
      </w:r>
    </w:p>
    <w:p>
      <w:pPr>
        <w:pStyle w:val="ListBullet"/>
        <w:keepNext w:val="0"/>
        <w:keepLines/>
        <w:widowControl/>
      </w:pPr>
      <w:r>
        <w:t>Azure Local infrastructure, Arc resource bridge, AKS system pods, Istio, certificates, monitoring, and unrelated workloads.</w:t>
      </w:r>
    </w:p>
    <w:p>
      <w:pPr>
        <w:pStyle w:val="ListBullet"/>
        <w:keepNext w:val="0"/>
        <w:keepLines/>
        <w:widowControl/>
      </w:pPr>
      <w:r>
        <w:t>Node OS disks, model-cache PVCs, container images, logs, update headroom, and storage resilience.</w:t>
      </w:r>
    </w:p>
    <w:p>
      <w:pPr>
        <w:pStyle w:val="ListBullet"/>
        <w:keepNext w:val="0"/>
        <w:keepLines/>
        <w:widowControl/>
      </w:pPr>
      <w:r>
        <w:t>Failure capacity. In production, the remaining physical hosts must run required worker VMs and replicas after one host is unavailable.</w:t>
      </w:r>
    </w:p>
    <w:tbl>
      <w:tblPr>
        <w:tblStyle w:val="TableGrid"/>
        <w:tblW w:type="dxa" w:w="9360"/>
        <w:jc w:val="left"/>
        <w:tblLayout w:type="fixed"/>
        <w:tblLook w:firstColumn="1" w:firstRow="1" w:lastColumn="0" w:lastRow="0" w:noHBand="0" w:noVBand="1" w:val="04A0"/>
        <w:tblInd w:type="dxa" w:w="120"/>
      </w:tblPr>
      <w:tblGrid>
        <w:gridCol w:w="9360"/>
      </w:tblGrid>
      <w:tr>
        <w:trPr>
          <w:trHeight w:hRule="auto"/>
          <w:tblHeader w:val="true"/>
          <w:cantSplit/>
        </w:trPr>
        <w:tc>
          <w:tcPr>
            <w:tcW w:type="dxa" w:w="9360"/>
            <w:shd w:fill="EAF6FA" w:val="clear"/>
            <w:tcBorders>
              <w:top w:val="single" w:sz="10" w:color="2E74B5"/>
              <w:left w:val="single" w:sz="10" w:color="2E74B5"/>
              <w:bottom w:val="single" w:sz="10" w:color="2E74B5"/>
              <w:right w:val="single" w:sz="10" w:color="2E74B5"/>
              <w:insideH w:val="single" w:sz="10" w:color="2E74B5"/>
              <w:insideV w:val="single" w:sz="10" w:color="2E74B5"/>
            </w:tcBorders>
            <w:vAlign w:val="center"/>
            <w:tcMar>
              <w:top w:w="80" w:type="dxa"/>
              <w:bottom w:w="80" w:type="dxa"/>
              <w:start w:w="120" w:type="dxa"/>
              <w:end w:w="120" w:type="dxa"/>
            </w:tcMar>
          </w:tcPr>
          <w:p>
            <w:pPr>
              <w:pStyle w:val="GuideCallout"/>
            </w:pPr>
            <w:r>
              <w:t>Procurement rule</w:t>
            </w:r>
          </w:p>
          <w:p>
            <w:pPr>
              <w:pStyle w:val="GuideSmall"/>
            </w:pPr>
            <w:r>
              <w:rPr>
                <w:color w:val="1F2933"/>
              </w:rPr>
              <w:t>Choose a validated system from the Azure Local catalog and complete the full cluster-capacity calculation with the hardware vendor. Adding only the model pod requests is not a server bill of materials.</w:t>
            </w:r>
          </w:p>
        </w:tc>
      </w:tr>
    </w:tbl>
    <w:p>
      <w:pPr>
        <w:spacing w:after="40"/>
      </w:pPr>
    </w:p>
    <w:p>
      <w:pPr>
        <w:pStyle w:val="Heading2"/>
      </w:pPr>
      <w:r>
        <w:t>Runtime choice</w:t>
      </w:r>
    </w:p>
    <w:tbl>
      <w:tblPr>
        <w:tblStyle w:val="TableGrid"/>
        <w:tblW w:type="dxa" w:w="9360"/>
        <w:jc w:val="left"/>
        <w:tblLayout w:type="fixed"/>
        <w:tblLook w:firstColumn="1" w:firstRow="1" w:lastColumn="0" w:lastRow="0" w:noHBand="0" w:noVBand="1" w:val="04A0"/>
        <w:tblInd w:type="dxa" w:w="120"/>
      </w:tblPr>
      <w:tblGrid>
        <w:gridCol w:w="2232"/>
        <w:gridCol w:w="2088"/>
        <w:gridCol w:w="1440"/>
        <w:gridCol w:w="3600"/>
      </w:tblGrid>
      <w:tr>
        <w:trPr>
          <w:trHeight w:hRule="auto"/>
          <w:tblHeader w:val="true"/>
          <w:cantSplit/>
        </w:trPr>
        <w:tc>
          <w:tcPr>
            <w:tcW w:type="dxa" w:w="2232"/>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7"/>
              </w:rPr>
              <w:t>Runtime</w:t>
            </w:r>
          </w:p>
        </w:tc>
        <w:tc>
          <w:tcPr>
            <w:tcW w:type="dxa" w:w="2088"/>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7"/>
              </w:rPr>
              <w:t>CPU</w:t>
            </w:r>
          </w:p>
        </w:tc>
        <w:tc>
          <w:tcPr>
            <w:tcW w:type="dxa" w:w="1440"/>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7"/>
              </w:rPr>
              <w:t>GPU</w:t>
            </w:r>
          </w:p>
        </w:tc>
        <w:tc>
          <w:tcPr>
            <w:tcW w:type="dxa" w:w="3600"/>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7"/>
              </w:rPr>
              <w:t>Use it for</w:t>
            </w:r>
          </w:p>
        </w:tc>
      </w:tr>
      <w:tr>
        <w:trPr>
          <w:cantSplit/>
          <w:trHeight w:hRule="auto"/>
        </w:trPr>
        <w:tc>
          <w:tcPr>
            <w:tcW w:type="dxa" w:w="2232"/>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ONNX Runtime / ONNX-GenAI</w:t>
            </w:r>
          </w:p>
        </w:tc>
        <w:tc>
          <w:tcPr>
            <w:tcW w:type="dxa" w:w="208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Supported; only generative CPU runtime</w:t>
            </w:r>
          </w:p>
        </w:tc>
        <w:tc>
          <w:tcPr>
            <w:tcW w:type="dxa" w:w="144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Supported with CUDA variants</w:t>
            </w:r>
          </w:p>
        </w:tc>
        <w:tc>
          <w:tcPr>
            <w:tcW w:type="dxa" w:w="360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Smaller models, lower overhead, predictive ONNX workloads, measured CPU use</w:t>
            </w:r>
          </w:p>
        </w:tc>
      </w:tr>
      <w:tr>
        <w:trPr>
          <w:cantSplit/>
          <w:trHeight w:hRule="auto"/>
        </w:trPr>
        <w:tc>
          <w:tcPr>
            <w:tcW w:type="dxa" w:w="2232"/>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vLLM</w:t>
            </w:r>
          </w:p>
        </w:tc>
        <w:tc>
          <w:tcPr>
            <w:tcW w:type="dxa" w:w="208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Not supported</w:t>
            </w:r>
          </w:p>
        </w:tc>
        <w:tc>
          <w:tcPr>
            <w:tcW w:type="dxa" w:w="144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Required</w:t>
            </w:r>
          </w:p>
        </w:tc>
        <w:tc>
          <w:tcPr>
            <w:tcW w:type="dxa" w:w="360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Large models, high concurrency, continuous batching, memory planning, multi-replica routing</w:t>
            </w:r>
          </w:p>
        </w:tc>
      </w:tr>
    </w:tbl>
    <w:p>
      <w:pPr>
        <w:spacing w:after="0" w:line="240" w:lineRule="auto"/>
      </w:pPr>
    </w:p>
    <w:p>
      <w:pPr>
        <w:pStyle w:val="Heading2"/>
      </w:pPr>
      <w:r>
        <w:t>Supported physical GPU families</w:t>
      </w:r>
    </w:p>
    <w:p>
      <w:pPr>
        <w:keepNext w:val="0"/>
        <w:keepLines/>
        <w:widowControl/>
      </w:pPr>
      <w:r>
        <w:t>GPU workers are Linux only. AKS on Azure Local uses discrete device assignment and does not support GPU partitioning. A supported worker profile may receive one or two whole GPUs. AMD GPUs are not supported by Foundry Local on Azure Local.</w:t>
      </w:r>
    </w:p>
    <w:tbl>
      <w:tblPr>
        <w:tblStyle w:val="TableGrid"/>
        <w:tblW w:type="dxa" w:w="9360"/>
        <w:jc w:val="left"/>
        <w:tblLayout w:type="fixed"/>
        <w:tblLook w:firstColumn="1" w:firstRow="1" w:lastColumn="0" w:lastRow="0" w:noHBand="0" w:noVBand="1" w:val="04A0"/>
        <w:tblInd w:type="dxa" w:w="120"/>
      </w:tblPr>
      <w:tblGrid>
        <w:gridCol w:w="1445"/>
        <w:gridCol w:w="1376"/>
        <w:gridCol w:w="3716"/>
        <w:gridCol w:w="2823"/>
      </w:tblGrid>
      <w:tr>
        <w:trPr>
          <w:trHeight w:hRule="auto"/>
          <w:tblHeader w:val="true"/>
          <w:cantSplit/>
        </w:trPr>
        <w:tc>
          <w:tcPr>
            <w:tcW w:type="dxa" w:w="1445"/>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6"/>
              </w:rPr>
              <w:t>Physical GPU</w:t>
            </w:r>
          </w:p>
        </w:tc>
        <w:tc>
          <w:tcPr>
            <w:tcW w:type="dxa" w:w="1376"/>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6"/>
              </w:rPr>
              <w:t>Earliest release</w:t>
            </w:r>
          </w:p>
        </w:tc>
        <w:tc>
          <w:tcPr>
            <w:tcW w:type="dxa" w:w="3716"/>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6"/>
              </w:rPr>
              <w:t>Published local node resources</w:t>
            </w:r>
          </w:p>
        </w:tc>
        <w:tc>
          <w:tcPr>
            <w:tcW w:type="dxa" w:w="2823"/>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6"/>
              </w:rPr>
              <w:t>AKS Arc profile labels</w:t>
            </w:r>
          </w:p>
        </w:tc>
      </w:tr>
      <w:tr>
        <w:trPr>
          <w:cantSplit/>
          <w:trHeight w:hRule="auto"/>
        </w:trPr>
        <w:tc>
          <w:tcPr>
            <w:tcW w:type="dxa" w:w="1445"/>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T4</w:t>
            </w:r>
          </w:p>
        </w:tc>
        <w:tc>
          <w:tcPr>
            <w:tcW w:type="dxa" w:w="137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2408.0</w:t>
            </w:r>
          </w:p>
        </w:tc>
        <w:tc>
          <w:tcPr>
            <w:tcW w:type="dxa" w:w="371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6 to 12 vCPU; 12 to 24 GiB RAM; 8 to 16 GiB GPU memory</w:t>
            </w:r>
          </w:p>
        </w:tc>
        <w:tc>
          <w:tcPr>
            <w:tcW w:type="dxa" w:w="2823"/>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Standard_NK6, Standard_NK12</w:t>
            </w:r>
          </w:p>
        </w:tc>
      </w:tr>
      <w:tr>
        <w:trPr>
          <w:cantSplit/>
          <w:trHeight w:hRule="auto"/>
        </w:trPr>
        <w:tc>
          <w:tcPr>
            <w:tcW w:type="dxa" w:w="1445"/>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A2</w:t>
            </w:r>
          </w:p>
        </w:tc>
        <w:tc>
          <w:tcPr>
            <w:tcW w:type="dxa" w:w="137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2311.2</w:t>
            </w:r>
          </w:p>
        </w:tc>
        <w:tc>
          <w:tcPr>
            <w:tcW w:type="dxa" w:w="371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4 to 32 vCPU; 8 to 128 GiB RAM; 16 to 32 GiB GPU memory</w:t>
            </w:r>
          </w:p>
        </w:tc>
        <w:tc>
          <w:tcPr>
            <w:tcW w:type="dxa" w:w="2823"/>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Standard_NC4_A2 to NC32_A2</w:t>
            </w:r>
          </w:p>
        </w:tc>
      </w:tr>
      <w:tr>
        <w:trPr>
          <w:cantSplit/>
          <w:trHeight w:hRule="auto"/>
        </w:trPr>
        <w:tc>
          <w:tcPr>
            <w:tcW w:type="dxa" w:w="1445"/>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A16</w:t>
            </w:r>
          </w:p>
        </w:tc>
        <w:tc>
          <w:tcPr>
            <w:tcW w:type="dxa" w:w="137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2402.0</w:t>
            </w:r>
          </w:p>
        </w:tc>
        <w:tc>
          <w:tcPr>
            <w:tcW w:type="dxa" w:w="371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4 to 32 vCPU; 8 to 128 GiB RAM; 16 to 32 GiB GPU memory</w:t>
            </w:r>
          </w:p>
        </w:tc>
        <w:tc>
          <w:tcPr>
            <w:tcW w:type="dxa" w:w="2823"/>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Standard_NC4_A16 to NC32_A16</w:t>
            </w:r>
          </w:p>
        </w:tc>
      </w:tr>
      <w:tr>
        <w:trPr>
          <w:cantSplit/>
          <w:trHeight w:hRule="auto"/>
        </w:trPr>
        <w:tc>
          <w:tcPr>
            <w:tcW w:type="dxa" w:w="1445"/>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L4</w:t>
            </w:r>
          </w:p>
        </w:tc>
        <w:tc>
          <w:tcPr>
            <w:tcW w:type="dxa" w:w="137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2512.0</w:t>
            </w:r>
          </w:p>
        </w:tc>
        <w:tc>
          <w:tcPr>
            <w:tcW w:type="dxa" w:w="371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16 to 32 vCPU; 64 to 128 GiB RAM; 24 to 48 GiB GPU memory</w:t>
            </w:r>
          </w:p>
        </w:tc>
        <w:tc>
          <w:tcPr>
            <w:tcW w:type="dxa" w:w="2823"/>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Standard_NC16_L4_1 to NC32_L4_2</w:t>
            </w:r>
          </w:p>
        </w:tc>
      </w:tr>
      <w:tr>
        <w:trPr>
          <w:cantSplit/>
          <w:trHeight w:hRule="auto"/>
        </w:trPr>
        <w:tc>
          <w:tcPr>
            <w:tcW w:type="dxa" w:w="1445"/>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L40</w:t>
            </w:r>
          </w:p>
        </w:tc>
        <w:tc>
          <w:tcPr>
            <w:tcW w:type="dxa" w:w="137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2512.0</w:t>
            </w:r>
          </w:p>
        </w:tc>
        <w:tc>
          <w:tcPr>
            <w:tcW w:type="dxa" w:w="371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16 to 32 vCPU; 64 to 128 GiB RAM; 48 to 96 GiB GPU memory</w:t>
            </w:r>
          </w:p>
        </w:tc>
        <w:tc>
          <w:tcPr>
            <w:tcW w:type="dxa" w:w="2823"/>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Standard_NC16_L40_1 to NC32_L40_2</w:t>
            </w:r>
          </w:p>
        </w:tc>
      </w:tr>
      <w:tr>
        <w:trPr>
          <w:cantSplit/>
          <w:trHeight w:hRule="auto"/>
        </w:trPr>
        <w:tc>
          <w:tcPr>
            <w:tcW w:type="dxa" w:w="1445"/>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L40S</w:t>
            </w:r>
          </w:p>
        </w:tc>
        <w:tc>
          <w:tcPr>
            <w:tcW w:type="dxa" w:w="137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2512.0</w:t>
            </w:r>
          </w:p>
        </w:tc>
        <w:tc>
          <w:tcPr>
            <w:tcW w:type="dxa" w:w="371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16 to 32 vCPU; 64 to 128 GiB RAM; 48 to 96 GiB GPU memory</w:t>
            </w:r>
          </w:p>
        </w:tc>
        <w:tc>
          <w:tcPr>
            <w:tcW w:type="dxa" w:w="2823"/>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Standard_NC16_L40S_1 to NC32_L40S_2</w:t>
            </w:r>
          </w:p>
        </w:tc>
      </w:tr>
      <w:tr>
        <w:trPr>
          <w:cantSplit/>
          <w:trHeight w:hRule="auto"/>
        </w:trPr>
        <w:tc>
          <w:tcPr>
            <w:tcW w:type="dxa" w:w="1445"/>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RTX Pro 6000</w:t>
            </w:r>
          </w:p>
        </w:tc>
        <w:tc>
          <w:tcPr>
            <w:tcW w:type="dxa" w:w="137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2603.0</w:t>
            </w:r>
          </w:p>
        </w:tc>
        <w:tc>
          <w:tcPr>
            <w:tcW w:type="dxa" w:w="371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16 to 32 vCPU; 64 to 128 GiB RAM; 48 to 96 GiB GPU memory</w:t>
            </w:r>
          </w:p>
        </w:tc>
        <w:tc>
          <w:tcPr>
            <w:tcW w:type="dxa" w:w="2823"/>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Standard_NC16_RTX6000Pro_1 to NC32_RTX6000Pro_2</w:t>
            </w:r>
          </w:p>
        </w:tc>
      </w:tr>
    </w:tbl>
    <w:p>
      <w:pPr>
        <w:spacing w:after="0" w:line="240" w:lineRule="auto"/>
      </w:pPr>
    </w:p>
    <w:p>
      <w:pPr>
        <w:pStyle w:val="TableCitation"/>
        <w:keepNext w:val="0"/>
        <w:keepLines/>
        <w:widowControl/>
      </w:pPr>
      <w:r>
        <w:t>L4, L40, L40S, and RTX Pro 6000 profiles are listed as preview in the current table. Verify release and support status before procurement.</w:t>
      </w:r>
    </w:p>
    <w:p>
      <w:pPr>
        <w:pStyle w:val="Heading2"/>
      </w:pPr>
      <w:r>
        <w:t>Published vLLM memory anchors</w:t>
      </w:r>
    </w:p>
    <w:tbl>
      <w:tblPr>
        <w:tblStyle w:val="TableGrid"/>
        <w:tblW w:type="dxa" w:w="9360"/>
        <w:jc w:val="left"/>
        <w:tblLayout w:type="fixed"/>
        <w:tblLook w:firstColumn="1" w:firstRow="1" w:lastColumn="0" w:lastRow="0" w:noHBand="0" w:noVBand="1" w:val="04A0"/>
        <w:tblInd w:type="dxa" w:w="120"/>
      </w:tblPr>
      <w:tblGrid>
        <w:gridCol w:w="3960"/>
        <w:gridCol w:w="3240"/>
        <w:gridCol w:w="2160"/>
      </w:tblGrid>
      <w:tr>
        <w:trPr>
          <w:trHeight w:hRule="auto"/>
          <w:tblHeader w:val="true"/>
          <w:cantSplit/>
        </w:trPr>
        <w:tc>
          <w:tcPr>
            <w:tcW w:type="dxa" w:w="3960"/>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7"/>
              </w:rPr>
              <w:t>Model</w:t>
            </w:r>
          </w:p>
        </w:tc>
        <w:tc>
          <w:tcPr>
            <w:tcW w:type="dxa" w:w="3240"/>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7"/>
              </w:rPr>
              <w:t>Recommended GPU generation</w:t>
            </w:r>
          </w:p>
        </w:tc>
        <w:tc>
          <w:tcPr>
            <w:tcW w:type="dxa" w:w="2160"/>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7"/>
              </w:rPr>
              <w:t>Required GPU memory</w:t>
            </w:r>
          </w:p>
        </w:tc>
      </w:tr>
      <w:tr>
        <w:trPr>
          <w:cantSplit/>
          <w:trHeight w:hRule="auto"/>
        </w:trPr>
        <w:tc>
          <w:tcPr>
            <w:tcW w:type="dxa" w:w="396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Phi-3.5-mini-instruct</w:t>
            </w:r>
          </w:p>
        </w:tc>
        <w:tc>
          <w:tcPr>
            <w:tcW w:type="dxa" w:w="324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Ampere or later</w:t>
            </w:r>
          </w:p>
        </w:tc>
        <w:tc>
          <w:tcPr>
            <w:tcW w:type="dxa" w:w="216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8.428 GB</w:t>
            </w:r>
          </w:p>
        </w:tc>
      </w:tr>
      <w:tr>
        <w:trPr>
          <w:cantSplit/>
          <w:trHeight w:hRule="auto"/>
        </w:trPr>
        <w:tc>
          <w:tcPr>
            <w:tcW w:type="dxa" w:w="396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Phi-4-mini-instruct</w:t>
            </w:r>
          </w:p>
        </w:tc>
        <w:tc>
          <w:tcPr>
            <w:tcW w:type="dxa" w:w="324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Ampere or later</w:t>
            </w:r>
          </w:p>
        </w:tc>
        <w:tc>
          <w:tcPr>
            <w:tcW w:type="dxa" w:w="216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7.806 GB</w:t>
            </w:r>
          </w:p>
        </w:tc>
      </w:tr>
      <w:tr>
        <w:trPr>
          <w:cantSplit/>
          <w:trHeight w:hRule="auto"/>
        </w:trPr>
        <w:tc>
          <w:tcPr>
            <w:tcW w:type="dxa" w:w="396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Phi-4-mini-reasoning</w:t>
            </w:r>
          </w:p>
        </w:tc>
        <w:tc>
          <w:tcPr>
            <w:tcW w:type="dxa" w:w="324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Ampere or later</w:t>
            </w:r>
          </w:p>
        </w:tc>
        <w:tc>
          <w:tcPr>
            <w:tcW w:type="dxa" w:w="216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7.806 GB</w:t>
            </w:r>
          </w:p>
        </w:tc>
      </w:tr>
      <w:tr>
        <w:trPr>
          <w:cantSplit/>
          <w:trHeight w:hRule="auto"/>
        </w:trPr>
        <w:tc>
          <w:tcPr>
            <w:tcW w:type="dxa" w:w="396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Mistral-7B-Instruct-v0.2</w:t>
            </w:r>
          </w:p>
        </w:tc>
        <w:tc>
          <w:tcPr>
            <w:tcW w:type="dxa" w:w="324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Ampere or later</w:t>
            </w:r>
          </w:p>
        </w:tc>
        <w:tc>
          <w:tcPr>
            <w:tcW w:type="dxa" w:w="216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15.64 GB</w:t>
            </w:r>
          </w:p>
        </w:tc>
      </w:tr>
      <w:tr>
        <w:trPr>
          <w:cantSplit/>
          <w:trHeight w:hRule="auto"/>
        </w:trPr>
        <w:tc>
          <w:tcPr>
            <w:tcW w:type="dxa" w:w="396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GPT-OSS-20B</w:t>
            </w:r>
          </w:p>
        </w:tc>
        <w:tc>
          <w:tcPr>
            <w:tcW w:type="dxa" w:w="324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Blackwell recommended</w:t>
            </w:r>
          </w:p>
        </w:tc>
        <w:tc>
          <w:tcPr>
            <w:tcW w:type="dxa" w:w="216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7"/>
              </w:rPr>
              <w:t>14.793 GB</w:t>
            </w:r>
          </w:p>
        </w:tc>
      </w:tr>
    </w:tbl>
    <w:p>
      <w:pPr>
        <w:spacing w:after="0" w:line="240" w:lineRule="auto"/>
      </w:pPr>
    </w:p>
    <w:p>
      <w:pPr>
        <w:pStyle w:val="TableCitation"/>
        <w:keepNext w:val="0"/>
        <w:keepLines/>
        <w:widowControl/>
      </w:pPr>
      <w:r>
        <w:t>These figures apply to the named vLLM profiles. They are not general rules for every model of the same parameter count. Microsoft's A10 benchmarks are evidence for that exact GPU and method, not promises for Azure Local GPU families or CPUs.</w:t>
      </w:r>
    </w:p>
    <w:p>
      <w:pPr>
        <w:pStyle w:val="Heading2"/>
      </w:pPr>
      <w:r>
        <w:t>Workload planning profiles</w:t>
      </w:r>
    </w:p>
    <w:tbl>
      <w:tblPr>
        <w:tblStyle w:val="TableGrid"/>
        <w:tblW w:type="dxa" w:w="9360"/>
        <w:jc w:val="left"/>
        <w:tblLayout w:type="fixed"/>
        <w:tblLook w:firstColumn="1" w:firstRow="1" w:lastColumn="0" w:lastRow="0" w:noHBand="0" w:noVBand="1" w:val="04A0"/>
        <w:tblInd w:type="dxa" w:w="120"/>
      </w:tblPr>
      <w:tblGrid>
        <w:gridCol w:w="1747"/>
        <w:gridCol w:w="2558"/>
        <w:gridCol w:w="1248"/>
        <w:gridCol w:w="2246"/>
        <w:gridCol w:w="1561"/>
      </w:tblGrid>
      <w:tr>
        <w:trPr>
          <w:trHeight w:hRule="auto"/>
          <w:tblHeader w:val="true"/>
          <w:cantSplit/>
        </w:trPr>
        <w:tc>
          <w:tcPr>
            <w:tcW w:type="dxa" w:w="1747"/>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5"/>
              </w:rPr>
              <w:t>Workload</w:t>
            </w:r>
          </w:p>
        </w:tc>
        <w:tc>
          <w:tcPr>
            <w:tcW w:type="dxa" w:w="2558"/>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5"/>
              </w:rPr>
              <w:t>Actual resource start</w:t>
            </w:r>
          </w:p>
        </w:tc>
        <w:tc>
          <w:tcPr>
            <w:tcW w:type="dxa" w:w="1248"/>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5"/>
              </w:rPr>
              <w:t>GPU</w:t>
            </w:r>
          </w:p>
        </w:tc>
        <w:tc>
          <w:tcPr>
            <w:tcW w:type="dxa" w:w="2246"/>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5"/>
              </w:rPr>
              <w:t>Scale and availability</w:t>
            </w:r>
          </w:p>
        </w:tc>
        <w:tc>
          <w:tcPr>
            <w:tcW w:type="dxa" w:w="1561"/>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5"/>
              </w:rPr>
              <w:t>Evidence</w:t>
            </w:r>
          </w:p>
        </w:tc>
      </w:tr>
      <w:tr>
        <w:trPr>
          <w:cantSplit/>
          <w:trHeight w:hRule="auto"/>
        </w:trPr>
        <w:tc>
          <w:tcPr>
            <w:tcW w:type="dxa" w:w="1747"/>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Extension validation and small CPU model</w:t>
            </w:r>
          </w:p>
        </w:tc>
        <w:tc>
          <w:tcPr>
            <w:tcW w:type="dxa" w:w="255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1 worker: 4 vCPU, 16 GiB RAM, at least 14 GiB allocatable</w:t>
            </w:r>
          </w:p>
        </w:tc>
        <w:tc>
          <w:tcPr>
            <w:tcW w:type="dxa" w:w="124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None</w:t>
            </w:r>
          </w:p>
        </w:tc>
        <w:tc>
          <w:tcPr>
            <w:tcW w:type="dxa" w:w="224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Proof of concept; no redundancy</w:t>
            </w:r>
          </w:p>
        </w:tc>
        <w:tc>
          <w:tcPr>
            <w:tcW w:type="dxa" w:w="1561"/>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Published minimum</w:t>
            </w:r>
          </w:p>
        </w:tc>
      </w:tr>
      <w:tr>
        <w:trPr>
          <w:cantSplit/>
          <w:trHeight w:hRule="auto"/>
        </w:trPr>
        <w:tc>
          <w:tcPr>
            <w:tcW w:type="dxa" w:w="1747"/>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Shared CPU inference, 4B class</w:t>
            </w:r>
          </w:p>
        </w:tc>
        <w:tc>
          <w:tcPr>
            <w:tcW w:type="dxa" w:w="255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2+ workers: 8 vCPU and 32 GiB RAM each; test model at 4 CPU and 16 GiB requests</w:t>
            </w:r>
          </w:p>
        </w:tc>
        <w:tc>
          <w:tcPr>
            <w:tcW w:type="dxa" w:w="124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None</w:t>
            </w:r>
          </w:p>
        </w:tc>
        <w:tc>
          <w:tcPr>
            <w:tcW w:type="dxa" w:w="224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Measure one replica first; add replicas only if latency passes</w:t>
            </w:r>
          </w:p>
        </w:tc>
        <w:tc>
          <w:tcPr>
            <w:tcW w:type="dxa" w:w="1561"/>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Published plus transferred</w:t>
            </w:r>
          </w:p>
        </w:tc>
      </w:tr>
      <w:tr>
        <w:trPr>
          <w:cantSplit/>
          <w:trHeight w:hRule="auto"/>
        </w:trPr>
        <w:tc>
          <w:tcPr>
            <w:tcW w:type="dxa" w:w="1747"/>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Low-concurrency 4B GPU</w:t>
            </w:r>
          </w:p>
        </w:tc>
        <w:tc>
          <w:tcPr>
            <w:tcW w:type="dxa" w:w="255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GPU worker with at least 16 GiB GPU memory and sufficient host RAM</w:t>
            </w:r>
          </w:p>
        </w:tc>
        <w:tc>
          <w:tcPr>
            <w:tcW w:type="dxa" w:w="124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A2 or A16</w:t>
            </w:r>
          </w:p>
        </w:tc>
        <w:tc>
          <w:tcPr>
            <w:tcW w:type="dxa" w:w="224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Keep CPU capacity for platform services</w:t>
            </w:r>
          </w:p>
        </w:tc>
        <w:tc>
          <w:tcPr>
            <w:tcW w:type="dxa" w:w="1561"/>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Transferred</w:t>
            </w:r>
          </w:p>
        </w:tc>
      </w:tr>
      <w:tr>
        <w:trPr>
          <w:cantSplit/>
          <w:trHeight w:hRule="auto"/>
        </w:trPr>
        <w:tc>
          <w:tcPr>
            <w:tcW w:type="dxa" w:w="1747"/>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7B model with context headroom</w:t>
            </w:r>
          </w:p>
        </w:tc>
        <w:tc>
          <w:tcPr>
            <w:tcW w:type="dxa" w:w="255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Start with a supported 24-GiB GPU profile</w:t>
            </w:r>
          </w:p>
        </w:tc>
        <w:tc>
          <w:tcPr>
            <w:tcW w:type="dxa" w:w="124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L4</w:t>
            </w:r>
          </w:p>
        </w:tc>
        <w:tc>
          <w:tcPr>
            <w:tcW w:type="dxa" w:w="224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Validate one replica; add a second worker and replica for availability</w:t>
            </w:r>
          </w:p>
        </w:tc>
        <w:tc>
          <w:tcPr>
            <w:tcW w:type="dxa" w:w="1561"/>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Transferred</w:t>
            </w:r>
          </w:p>
        </w:tc>
      </w:tr>
      <w:tr>
        <w:trPr>
          <w:cantSplit/>
          <w:trHeight w:hRule="auto"/>
        </w:trPr>
        <w:tc>
          <w:tcPr>
            <w:tcW w:type="dxa" w:w="1747"/>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GPT-OSS-20B development</w:t>
            </w:r>
          </w:p>
        </w:tc>
        <w:tc>
          <w:tcPr>
            <w:tcW w:type="dxa" w:w="255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8+ vCPU, 32 GB RAM, at least 50 GB model storage</w:t>
            </w:r>
          </w:p>
        </w:tc>
        <w:tc>
          <w:tcPr>
            <w:tcW w:type="dxa" w:w="124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24+ GB</w:t>
            </w:r>
          </w:p>
        </w:tc>
        <w:tc>
          <w:tcPr>
            <w:tcW w:type="dxa" w:w="224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Development and low concurrency</w:t>
            </w:r>
          </w:p>
        </w:tc>
        <w:tc>
          <w:tcPr>
            <w:tcW w:type="dxa" w:w="1561"/>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Published model-host minimum</w:t>
            </w:r>
          </w:p>
        </w:tc>
      </w:tr>
      <w:tr>
        <w:trPr>
          <w:cantSplit/>
          <w:trHeight w:hRule="auto"/>
        </w:trPr>
        <w:tc>
          <w:tcPr>
            <w:tcW w:type="dxa" w:w="1747"/>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GPT-OSS-20B production</w:t>
            </w:r>
          </w:p>
        </w:tc>
        <w:tc>
          <w:tcPr>
            <w:tcW w:type="dxa" w:w="255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16+ vCPU, 64 GB RAM, 50 to 100 GB storage per replica</w:t>
            </w:r>
          </w:p>
        </w:tc>
        <w:tc>
          <w:tcPr>
            <w:tcW w:type="dxa" w:w="124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48+ GB per replica</w:t>
            </w:r>
          </w:p>
        </w:tc>
        <w:tc>
          <w:tcPr>
            <w:tcW w:type="dxa" w:w="224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Use multiple workers and replicas when availability is required</w:t>
            </w:r>
          </w:p>
        </w:tc>
        <w:tc>
          <w:tcPr>
            <w:tcW w:type="dxa" w:w="1561"/>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Published per-host recommendation</w:t>
            </w:r>
          </w:p>
        </w:tc>
      </w:tr>
      <w:tr>
        <w:trPr>
          <w:cantSplit/>
          <w:trHeight w:hRule="auto"/>
        </w:trPr>
        <w:tc>
          <w:tcPr>
            <w:tcW w:type="dxa" w:w="1747"/>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High-concurrency or multi-model</w:t>
            </w:r>
          </w:p>
        </w:tc>
        <w:tc>
          <w:tcPr>
            <w:tcW w:type="dxa" w:w="255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Separate CPU and GPU pools; add workers from measured demand</w:t>
            </w:r>
          </w:p>
        </w:tc>
        <w:tc>
          <w:tcPr>
            <w:tcW w:type="dxa" w:w="124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L40/L40S/RTX Pro 6000 where validated</w:t>
            </w:r>
          </w:p>
        </w:tc>
        <w:tc>
          <w:tcPr>
            <w:tcW w:type="dxa" w:w="2246"/>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Size physical cluster for normal load plus one-host failure</w:t>
            </w:r>
          </w:p>
        </w:tc>
        <w:tc>
          <w:tcPr>
            <w:tcW w:type="dxa" w:w="1561"/>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5"/>
              </w:rPr>
              <w:t>Exact quantity requires measurement</w:t>
            </w:r>
          </w:p>
        </w:tc>
      </w:tr>
    </w:tbl>
    <w:p>
      <w:pPr>
        <w:spacing w:after="0" w:line="240" w:lineRule="auto"/>
      </w:pPr>
    </w:p>
    <w:p>
      <w:pPr>
        <w:pStyle w:val="Heading2"/>
      </w:pPr>
      <w:r>
        <w:t>Kubernetes resource requests and limits</w:t>
      </w:r>
    </w:p>
    <w:p>
      <w:pPr>
        <w:keepNext w:val="0"/>
        <w:keepLines/>
        <w:widowControl/>
      </w:pPr>
      <w:r>
        <w:t>Kubernetes schedules a pod from resource requests, not from its higher limits. Microsoft's CPU example requests 16 GiB memory and limits memory to 32 GiB. It can schedule on a recommended worker with at least 28 GiB allocatable because the request is 16 GiB.</w:t>
      </w:r>
    </w:p>
    <w:tbl>
      <w:tblPr>
        <w:tblStyle w:val="TableGrid"/>
        <w:tblW w:type="dxa" w:w="9360"/>
        <w:jc w:val="left"/>
        <w:tblLayout w:type="fixed"/>
        <w:tblLook w:firstColumn="1" w:firstRow="1" w:lastColumn="0" w:lastRow="0" w:noHBand="0" w:noVBand="1" w:val="04A0"/>
        <w:tblInd w:type="dxa" w:w="120"/>
      </w:tblPr>
      <w:tblGrid>
        <w:gridCol w:w="9360"/>
      </w:tblGrid>
      <w:tr>
        <w:trPr>
          <w:trHeight w:hRule="auto"/>
          <w:tblHeader w:val="true"/>
          <w:cantSplit/>
        </w:trPr>
        <w:tc>
          <w:tcPr>
            <w:tcW w:type="dxa" w:w="9360"/>
            <w:shd w:fill="FFF4D6" w:val="clear"/>
            <w:tcBorders>
              <w:top w:val="single" w:sz="10" w:color="2E74B5"/>
              <w:left w:val="single" w:sz="10" w:color="2E74B5"/>
              <w:bottom w:val="single" w:sz="10" w:color="2E74B5"/>
              <w:right w:val="single" w:sz="10" w:color="2E74B5"/>
              <w:insideH w:val="single" w:sz="10" w:color="2E74B5"/>
              <w:insideV w:val="single" w:sz="10" w:color="2E74B5"/>
            </w:tcBorders>
            <w:vAlign w:val="center"/>
            <w:tcMar>
              <w:top w:w="80" w:type="dxa"/>
              <w:bottom w:w="80" w:type="dxa"/>
              <w:start w:w="120" w:type="dxa"/>
              <w:end w:w="120" w:type="dxa"/>
            </w:tcMar>
          </w:tcPr>
          <w:p>
            <w:pPr>
              <w:pStyle w:val="GuideCallout"/>
            </w:pPr>
            <w:r>
              <w:t>Do not mistake legal overcommit for guaranteed capacity</w:t>
            </w:r>
          </w:p>
          <w:p>
            <w:pPr>
              <w:pStyle w:val="GuideSmall"/>
            </w:pPr>
            <w:r>
              <w:rPr>
                <w:color w:val="1F2933"/>
              </w:rPr>
              <w:t>A 32 GiB limit on a worker with 28 GiB allocatable does not guarantee that the pod can safely consume 32 GiB. Under pressure, it may be evicted; at the cgroup limit, it can be terminated. Size placement from requests and size failure-free peak operation from measured usage plus node headroom.</w:t>
            </w:r>
          </w:p>
        </w:tc>
      </w:tr>
    </w:tbl>
    <w:p>
      <w:pPr>
        <w:spacing w:after="40"/>
      </w:pPr>
    </w:p>
    <w:p>
      <w:pPr>
        <w:pStyle w:val="Heading2"/>
      </w:pPr>
      <w:r>
        <w:t>Agentic Retrieval is a separate sizing class</w:t>
      </w:r>
    </w:p>
    <w:tbl>
      <w:tblPr>
        <w:tblStyle w:val="TableGrid"/>
        <w:tblW w:type="dxa" w:w="9360"/>
        <w:jc w:val="left"/>
        <w:tblLayout w:type="fixed"/>
        <w:tblLook w:firstColumn="1" w:firstRow="1" w:lastColumn="0" w:lastRow="0" w:noHBand="0" w:noVBand="1" w:val="04A0"/>
        <w:tblInd w:type="dxa" w:w="120"/>
      </w:tblPr>
      <w:tblGrid>
        <w:gridCol w:w="1858"/>
        <w:gridCol w:w="4611"/>
        <w:gridCol w:w="2891"/>
      </w:tblGrid>
      <w:tr>
        <w:trPr>
          <w:trHeight w:hRule="auto"/>
          <w:tblHeader w:val="true"/>
          <w:cantSplit/>
        </w:trPr>
        <w:tc>
          <w:tcPr>
            <w:tcW w:type="dxa" w:w="1858"/>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6"/>
              </w:rPr>
              <w:t>Role</w:t>
            </w:r>
          </w:p>
        </w:tc>
        <w:tc>
          <w:tcPr>
            <w:tcW w:type="dxa" w:w="4611"/>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6"/>
              </w:rPr>
              <w:t>Published requirement</w:t>
            </w:r>
          </w:p>
        </w:tc>
        <w:tc>
          <w:tcPr>
            <w:tcW w:type="dxa" w:w="2891"/>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6"/>
              </w:rPr>
              <w:t>Purpose or model</w:t>
            </w:r>
          </w:p>
        </w:tc>
      </w:tr>
      <w:tr>
        <w:trPr>
          <w:cantSplit/>
          <w:trHeight w:hRule="auto"/>
        </w:trPr>
        <w:tc>
          <w:tcPr>
            <w:tcW w:type="dxa" w:w="185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CPU workers</w:t>
            </w:r>
          </w:p>
        </w:tc>
        <w:tc>
          <w:tcPr>
            <w:tcW w:type="dxa" w:w="4611"/>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3 or more VMs, each at least 8 vCPU and 32 GB RAM</w:t>
            </w:r>
          </w:p>
        </w:tc>
        <w:tc>
          <w:tcPr>
            <w:tcW w:type="dxa" w:w="2891"/>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Retrieval services and supporting workloads</w:t>
            </w:r>
          </w:p>
        </w:tc>
      </w:tr>
      <w:tr>
        <w:trPr>
          <w:cantSplit/>
          <w:trHeight w:hRule="auto"/>
        </w:trPr>
        <w:tc>
          <w:tcPr>
            <w:tcW w:type="dxa" w:w="185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Text embedding</w:t>
            </w:r>
          </w:p>
        </w:tc>
        <w:tc>
          <w:tcPr>
            <w:tcW w:type="dxa" w:w="4611"/>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1 GPU-enabled VM</w:t>
            </w:r>
          </w:p>
        </w:tc>
        <w:tc>
          <w:tcPr>
            <w:tcW w:type="dxa" w:w="2891"/>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BGE-M3</w:t>
            </w:r>
          </w:p>
        </w:tc>
      </w:tr>
      <w:tr>
        <w:trPr>
          <w:cantSplit/>
          <w:trHeight w:hRule="auto"/>
        </w:trPr>
        <w:tc>
          <w:tcPr>
            <w:tcW w:type="dxa" w:w="185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Image embedding</w:t>
            </w:r>
          </w:p>
        </w:tc>
        <w:tc>
          <w:tcPr>
            <w:tcW w:type="dxa" w:w="4611"/>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1 GPU-enabled VM</w:t>
            </w:r>
          </w:p>
        </w:tc>
        <w:tc>
          <w:tcPr>
            <w:tcW w:type="dxa" w:w="2891"/>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CLIP ViT-L/14</w:t>
            </w:r>
          </w:p>
        </w:tc>
      </w:tr>
      <w:tr>
        <w:trPr>
          <w:cantSplit/>
          <w:trHeight w:hRule="auto"/>
        </w:trPr>
        <w:tc>
          <w:tcPr>
            <w:tcW w:type="dxa" w:w="185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Language-model endpoint</w:t>
            </w:r>
          </w:p>
        </w:tc>
        <w:tc>
          <w:tcPr>
            <w:tcW w:type="dxa" w:w="4611"/>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Separate endpoint</w:t>
            </w:r>
          </w:p>
        </w:tc>
        <w:tc>
          <w:tcPr>
            <w:tcW w:type="dxa" w:w="2891"/>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If GPT-OSS-20B: 8+ vCPU, 32 GB RAM, 24+ GB GPU memory, 50+ GB storage</w:t>
            </w:r>
          </w:p>
        </w:tc>
      </w:tr>
      <w:tr>
        <w:trPr>
          <w:cantSplit/>
          <w:trHeight w:hRule="auto"/>
        </w:trPr>
        <w:tc>
          <w:tcPr>
            <w:tcW w:type="dxa" w:w="185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Production GPT-OSS-20B</w:t>
            </w:r>
          </w:p>
        </w:tc>
        <w:tc>
          <w:tcPr>
            <w:tcW w:type="dxa" w:w="4611"/>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Per replica: 16+ vCPU, 64 GB RAM, 48+ GB GPU memory, 50 to 100 GB storage</w:t>
            </w:r>
          </w:p>
        </w:tc>
        <w:tc>
          <w:tcPr>
            <w:tcW w:type="dxa" w:w="2891"/>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6"/>
              </w:rPr>
              <w:t>Add replicas and failure capacity from the service objective</w:t>
            </w:r>
          </w:p>
        </w:tc>
      </w:tr>
    </w:tbl>
    <w:p>
      <w:pPr>
        <w:spacing w:after="0" w:line="240" w:lineRule="auto"/>
      </w:pPr>
    </w:p>
    <w:tbl>
      <w:tblPr>
        <w:tblStyle w:val="TableGrid"/>
        <w:tblW w:type="dxa" w:w="9360"/>
        <w:jc w:val="left"/>
        <w:tblLayout w:type="fixed"/>
        <w:tblLook w:firstColumn="1" w:firstRow="1" w:lastColumn="0" w:lastRow="0" w:noHBand="0" w:noVBand="1" w:val="04A0"/>
        <w:tblInd w:type="dxa" w:w="120"/>
      </w:tblPr>
      <w:tblGrid>
        <w:gridCol w:w="9360"/>
      </w:tblGrid>
      <w:tr>
        <w:trPr>
          <w:trHeight w:hRule="auto"/>
          <w:tblHeader w:val="true"/>
          <w:cantSplit/>
        </w:trPr>
        <w:tc>
          <w:tcPr>
            <w:tcW w:type="dxa" w:w="9360"/>
            <w:shd w:fill="FBE9E7" w:val="clear"/>
            <w:tcBorders>
              <w:top w:val="single" w:sz="10" w:color="2E74B5"/>
              <w:left w:val="single" w:sz="10" w:color="2E74B5"/>
              <w:bottom w:val="single" w:sz="10" w:color="2E74B5"/>
              <w:right w:val="single" w:sz="10" w:color="2E74B5"/>
              <w:insideH w:val="single" w:sz="10" w:color="2E74B5"/>
              <w:insideV w:val="single" w:sz="10" w:color="2E74B5"/>
            </w:tcBorders>
            <w:vAlign w:val="center"/>
            <w:tcMar>
              <w:top w:w="80" w:type="dxa"/>
              <w:bottom w:w="80" w:type="dxa"/>
              <w:start w:w="120" w:type="dxa"/>
              <w:end w:w="120" w:type="dxa"/>
            </w:tcMar>
          </w:tcPr>
          <w:p>
            <w:pPr>
              <w:pStyle w:val="GuideCallout"/>
            </w:pPr>
            <w:r>
              <w:t>Preview documentation conflict</w:t>
            </w:r>
          </w:p>
          <w:p>
            <w:pPr>
              <w:pStyle w:val="GuideSmall"/>
            </w:pPr>
            <w:r>
              <w:rPr>
                <w:color w:val="1F2933"/>
              </w:rPr>
              <w:t>The current requirements page names two embedding GPU VMs in its resource description and deployment-mode table, but its combined minimum-capacity row shows one GPU worker. Plan conservatively for the two named roles and confirm the supported topology during preview onboarding before purchase.</w:t>
            </w:r>
          </w:p>
        </w:tc>
      </w:tr>
    </w:tbl>
    <w:p>
      <w:pPr>
        <w:spacing w:after="40"/>
      </w:pPr>
    </w:p>
    <w:p>
      <w:pPr>
        <w:pStyle w:val="Heading1"/>
      </w:pPr>
      <w:r>
        <w:t>Sizing and acceptance method</w:t>
      </w:r>
    </w:p>
    <w:p>
      <w:pPr>
        <w:keepNext w:val="0"/>
        <w:keepLines/>
        <w:widowControl/>
      </w:pPr>
      <w:r>
        <w:t>Use the same evidence sequence for either local target:</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rHeight w:hRule="auto"/>
          <w:tblHeader w:val="true"/>
          <w:cantSplit/>
        </w:trPr>
        <w:tc>
          <w:tcPr>
            <w:tcW w:type="dxa" w:w="1800"/>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8"/>
              </w:rPr>
              <w:t>Stage</w:t>
            </w:r>
          </w:p>
        </w:tc>
        <w:tc>
          <w:tcPr>
            <w:tcW w:type="dxa" w:w="7560"/>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8"/>
              </w:rPr>
              <w:t>Required evidence</w:t>
            </w:r>
          </w:p>
        </w:tc>
      </w:tr>
      <w:tr>
        <w:trPr>
          <w:cantSplit/>
          <w:trHeight w:hRule="auto"/>
        </w:trPr>
        <w:tc>
          <w:tcPr>
            <w:tcW w:type="dxa" w:w="180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8"/>
              </w:rPr>
              <w:t>1. Define</w:t>
            </w:r>
          </w:p>
        </w:tc>
        <w:tc>
          <w:tcPr>
            <w:tcW w:type="dxa" w:w="756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8"/>
              </w:rPr>
              <w:t>Name users, concurrency, availability, latency, output rate, context, data locality, and required modalities.</w:t>
            </w:r>
          </w:p>
        </w:tc>
      </w:tr>
      <w:tr>
        <w:trPr>
          <w:cantSplit/>
          <w:trHeight w:hRule="auto"/>
        </w:trPr>
        <w:tc>
          <w:tcPr>
            <w:tcW w:type="dxa" w:w="180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8"/>
              </w:rPr>
              <w:t>2. Select</w:t>
            </w:r>
          </w:p>
        </w:tc>
        <w:tc>
          <w:tcPr>
            <w:tcW w:type="dxa" w:w="756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8"/>
              </w:rPr>
              <w:t>Choose the exact model alias, model variant, runtime, and execution provider.</w:t>
            </w:r>
          </w:p>
        </w:tc>
      </w:tr>
      <w:tr>
        <w:trPr>
          <w:cantSplit/>
          <w:trHeight w:hRule="auto"/>
        </w:trPr>
        <w:tc>
          <w:tcPr>
            <w:tcW w:type="dxa" w:w="180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8"/>
              </w:rPr>
              <w:t>3. Fit</w:t>
            </w:r>
          </w:p>
        </w:tc>
        <w:tc>
          <w:tcPr>
            <w:tcW w:type="dxa" w:w="756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8"/>
              </w:rPr>
              <w:t>Confirm weights, runtime state, context, and cache fit in system or accelerator memory.</w:t>
            </w:r>
          </w:p>
        </w:tc>
      </w:tr>
      <w:tr>
        <w:trPr>
          <w:cantSplit/>
          <w:trHeight w:hRule="auto"/>
        </w:trPr>
        <w:tc>
          <w:tcPr>
            <w:tcW w:type="dxa" w:w="180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8"/>
              </w:rPr>
              <w:t>4. Benchmark</w:t>
            </w:r>
          </w:p>
        </w:tc>
        <w:tc>
          <w:tcPr>
            <w:tcW w:type="dxa" w:w="756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8"/>
              </w:rPr>
              <w:t>Measure first-token latency, output tokens per second, peak memory, storage growth, and error rate with representative prompts.</w:t>
            </w:r>
          </w:p>
        </w:tc>
      </w:tr>
      <w:tr>
        <w:trPr>
          <w:cantSplit/>
          <w:trHeight w:hRule="auto"/>
        </w:trPr>
        <w:tc>
          <w:tcPr>
            <w:tcW w:type="dxa" w:w="180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8"/>
              </w:rPr>
              <w:t>5. Load test</w:t>
            </w:r>
          </w:p>
        </w:tc>
        <w:tc>
          <w:tcPr>
            <w:tcW w:type="dxa" w:w="756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8"/>
              </w:rPr>
              <w:t>Add expected concurrency. On Azure Local, test replica placement, routing, and GPU saturation.</w:t>
            </w:r>
          </w:p>
        </w:tc>
      </w:tr>
      <w:tr>
        <w:trPr>
          <w:cantSplit/>
          <w:trHeight w:hRule="auto"/>
        </w:trPr>
        <w:tc>
          <w:tcPr>
            <w:tcW w:type="dxa" w:w="180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8"/>
              </w:rPr>
              <w:t>6. Fail</w:t>
            </w:r>
          </w:p>
        </w:tc>
        <w:tc>
          <w:tcPr>
            <w:tcW w:type="dxa" w:w="756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8"/>
              </w:rPr>
              <w:t>For production, remove one worker or host and prove the remaining physical capacity meets the recovery target.</w:t>
            </w:r>
          </w:p>
        </w:tc>
      </w:tr>
      <w:tr>
        <w:trPr>
          <w:cantSplit/>
          <w:trHeight w:hRule="auto"/>
        </w:trPr>
        <w:tc>
          <w:tcPr>
            <w:tcW w:type="dxa" w:w="180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8"/>
              </w:rPr>
              <w:t>7. Recheck</w:t>
            </w:r>
          </w:p>
        </w:tc>
        <w:tc>
          <w:tcPr>
            <w:tcW w:type="dxa" w:w="7560"/>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8"/>
              </w:rPr>
              <w:t>Verify live Microsoft model, accelerator, Azure Local release, preview, and catalog support before procurement.</w:t>
            </w:r>
          </w:p>
        </w:tc>
      </w:tr>
    </w:tbl>
    <w:p>
      <w:pPr>
        <w:spacing w:after="0" w:line="240" w:lineRule="auto"/>
      </w:pPr>
    </w:p>
    <w:p>
      <w:pPr>
        <w:pStyle w:val="Heading2"/>
      </w:pPr>
      <w:r>
        <w:t>Provenance labels used in this guide</w:t>
      </w:r>
    </w:p>
    <w:tbl>
      <w:tblPr>
        <w:tblStyle w:val="TableGrid"/>
        <w:tblW w:type="dxa" w:w="9360"/>
        <w:jc w:val="left"/>
        <w:tblLayout w:type="fixed"/>
        <w:tblLook w:firstColumn="1" w:firstRow="1" w:lastColumn="0" w:lastRow="0" w:noHBand="0" w:noVBand="1" w:val="04A0"/>
        <w:tblInd w:type="dxa" w:w="120"/>
      </w:tblPr>
      <w:tblGrid>
        <w:gridCol w:w="1728"/>
        <w:gridCol w:w="7632"/>
      </w:tblGrid>
      <w:tr>
        <w:trPr>
          <w:trHeight w:hRule="auto"/>
          <w:tblHeader w:val="true"/>
          <w:cantSplit/>
        </w:trPr>
        <w:tc>
          <w:tcPr>
            <w:tcW w:type="dxa" w:w="1728"/>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8"/>
              </w:rPr>
              <w:t>Label</w:t>
            </w:r>
          </w:p>
        </w:tc>
        <w:tc>
          <w:tcPr>
            <w:tcW w:type="dxa" w:w="7632"/>
            <w:vAlign w:val="center"/>
            <w:shd w:fill="E8EEF5" w:val="clear"/>
            <w:tcBorders>
              <w:top w:val="single" w:sz="8" w:color="B8C5D1"/>
              <w:left w:val="single" w:sz="8" w:color="B8C5D1"/>
              <w:bottom w:val="single" w:sz="8" w:color="B8C5D1"/>
              <w:right w:val="single" w:sz="8" w:color="B8C5D1"/>
              <w:insideH w:val="single" w:sz="8" w:color="B8C5D1"/>
              <w:insideV w:val="single" w:sz="8" w:color="B8C5D1"/>
            </w:tcBorders>
            <w:tcMar>
              <w:top w:w="80" w:type="dxa"/>
              <w:bottom w:w="80" w:type="dxa"/>
              <w:start w:w="120" w:type="dxa"/>
              <w:end w:w="120" w:type="dxa"/>
            </w:tcMar>
          </w:tcPr>
          <w:p>
            <w:pPr>
              <w:pStyle w:val="GuideTable"/>
              <w:keepNext w:val="0"/>
              <w:keepLines/>
              <w:widowControl/>
            </w:pPr>
            <w:r>
              <w:rPr>
                <w:b/>
                <w:color w:val="0B2545"/>
                <w:sz w:val="18"/>
              </w:rPr>
              <w:t>Meaning</w:t>
            </w:r>
          </w:p>
        </w:tc>
      </w:tr>
      <w:tr>
        <w:trPr>
          <w:cantSplit/>
          <w:trHeight w:hRule="auto"/>
        </w:trPr>
        <w:tc>
          <w:tcPr>
            <w:tcW w:type="dxa" w:w="172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8"/>
              </w:rPr>
              <w:t>Published</w:t>
            </w:r>
          </w:p>
        </w:tc>
        <w:tc>
          <w:tcPr>
            <w:tcW w:type="dxa" w:w="7632"/>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8"/>
              </w:rPr>
              <w:t>Microsoft states the number for the product or named workload.</w:t>
            </w:r>
          </w:p>
        </w:tc>
      </w:tr>
      <w:tr>
        <w:trPr>
          <w:cantSplit/>
          <w:trHeight w:hRule="auto"/>
        </w:trPr>
        <w:tc>
          <w:tcPr>
            <w:tcW w:type="dxa" w:w="172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8"/>
              </w:rPr>
              <w:t>Transferred</w:t>
            </w:r>
          </w:p>
        </w:tc>
        <w:tc>
          <w:tcPr>
            <w:tcW w:type="dxa" w:w="7632"/>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8"/>
              </w:rPr>
              <w:t>A named adjacent Microsoft example supplies a planning boundary, not a support promise.</w:t>
            </w:r>
          </w:p>
        </w:tc>
      </w:tr>
      <w:tr>
        <w:trPr>
          <w:cantSplit/>
          <w:trHeight w:hRule="auto"/>
        </w:trPr>
        <w:tc>
          <w:tcPr>
            <w:tcW w:type="dxa" w:w="172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8"/>
              </w:rPr>
              <w:t>Observed</w:t>
            </w:r>
          </w:p>
        </w:tc>
        <w:tc>
          <w:tcPr>
            <w:tcW w:type="dxa" w:w="7632"/>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8"/>
              </w:rPr>
              <w:t>A test on named hardware measured the value. This guide has no observed figures yet.</w:t>
            </w:r>
          </w:p>
        </w:tc>
      </w:tr>
      <w:tr>
        <w:trPr>
          <w:cantSplit/>
          <w:trHeight w:hRule="auto"/>
        </w:trPr>
        <w:tc>
          <w:tcPr>
            <w:tcW w:type="dxa" w:w="1728"/>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8"/>
              </w:rPr>
              <w:t>Unknown</w:t>
            </w:r>
          </w:p>
        </w:tc>
        <w:tc>
          <w:tcPr>
            <w:tcW w:type="dxa" w:w="7632"/>
            <w:vAlign w:val="center"/>
            <w:tcBorders>
              <w:top w:val="single" w:sz="6" w:color="D9E1E8"/>
              <w:left w:val="single" w:sz="6" w:color="D9E1E8"/>
              <w:bottom w:val="single" w:sz="6" w:color="D9E1E8"/>
              <w:right w:val="single" w:sz="6" w:color="D9E1E8"/>
              <w:insideH w:val="single" w:sz="6" w:color="D9E1E8"/>
              <w:insideV w:val="single" w:sz="6" w:color="D9E1E8"/>
            </w:tcBorders>
            <w:tcMar>
              <w:top w:w="80" w:type="dxa"/>
              <w:bottom w:w="80" w:type="dxa"/>
              <w:start w:w="120" w:type="dxa"/>
              <w:end w:w="120" w:type="dxa"/>
            </w:tcMar>
          </w:tcPr>
          <w:p>
            <w:pPr>
              <w:pStyle w:val="GuideTable"/>
              <w:keepNext w:val="0"/>
              <w:keepLines/>
              <w:widowControl/>
            </w:pPr>
            <w:r>
              <w:rPr>
                <w:sz w:val="18"/>
              </w:rPr>
              <w:t>No defensible numeric requirement was found. Resolve it with the exact-device benchmark.</w:t>
            </w:r>
          </w:p>
        </w:tc>
      </w:tr>
    </w:tbl>
    <w:p>
      <w:pPr>
        <w:spacing w:after="0" w:line="240" w:lineRule="auto"/>
      </w:pPr>
    </w:p>
    <w:p>
      <w:pPr>
        <w:pStyle w:val="Heading2"/>
      </w:pPr>
      <w:r>
        <w:t>Final decision rule</w:t>
      </w:r>
    </w:p>
    <w:tbl>
      <w:tblPr>
        <w:tblStyle w:val="TableGrid"/>
        <w:tblW w:type="dxa" w:w="9360"/>
        <w:jc w:val="left"/>
        <w:tblLayout w:type="fixed"/>
        <w:tblLook w:firstColumn="1" w:firstRow="1" w:lastColumn="0" w:lastRow="0" w:noHBand="0" w:noVBand="1" w:val="04A0"/>
        <w:tblInd w:type="dxa" w:w="120"/>
      </w:tblPr>
      <w:tblGrid>
        <w:gridCol w:w="9360"/>
      </w:tblGrid>
      <w:tr>
        <w:trPr>
          <w:trHeight w:hRule="auto"/>
          <w:tblHeader w:val="true"/>
          <w:cantSplit/>
        </w:trPr>
        <w:tc>
          <w:tcPr>
            <w:tcW w:type="dxa" w:w="9360"/>
            <w:shd w:fill="EAF6FA" w:val="clear"/>
            <w:tcBorders>
              <w:top w:val="single" w:sz="10" w:color="2E74B5"/>
              <w:left w:val="single" w:sz="10" w:color="2E74B5"/>
              <w:bottom w:val="single" w:sz="10" w:color="2E74B5"/>
              <w:right w:val="single" w:sz="10" w:color="2E74B5"/>
              <w:insideH w:val="single" w:sz="10" w:color="2E74B5"/>
              <w:insideV w:val="single" w:sz="10" w:color="2E74B5"/>
            </w:tcBorders>
            <w:vAlign w:val="center"/>
            <w:tcMar>
              <w:top w:w="80" w:type="dxa"/>
              <w:bottom w:w="80" w:type="dxa"/>
              <w:start w:w="120" w:type="dxa"/>
              <w:end w:w="120" w:type="dxa"/>
            </w:tcMar>
          </w:tcPr>
          <w:p>
            <w:pPr>
              <w:pStyle w:val="GuideCallout"/>
            </w:pPr>
            <w:r>
              <w:t>Never buy hardware from parameter count or a node-profile label alone</w:t>
            </w:r>
          </w:p>
          <w:p>
            <w:pPr>
              <w:pStyle w:val="GuideSmall"/>
            </w:pPr>
            <w:r>
              <w:rPr>
                <w:color w:val="1F2933"/>
              </w:rPr>
              <w:t>Choose the product boundary, exact model variant, runtime, and service objective. Then validate memory fit and measured performance. For Azure Local, translate every worker profile into physical cores, RAM, storage, supported whole-GPU assignments, platform overhead, and one-host failure capacity.</w:t>
            </w:r>
          </w:p>
        </w:tc>
      </w:tr>
    </w:tbl>
    <w:p>
      <w:pPr>
        <w:spacing w:after="40"/>
      </w:pPr>
    </w:p>
    <w:p>
      <w:r>
        <w:br w:type="page"/>
      </w:r>
    </w:p>
    <w:p>
      <w:pPr>
        <w:pStyle w:val="Heading1"/>
      </w:pPr>
      <w:r>
        <w:t>Primary sources</w:t>
      </w:r>
    </w:p>
    <w:p>
      <w:pPr>
        <w:pStyle w:val="GuideSmall"/>
        <w:keepNext w:val="0"/>
        <w:keepLines/>
        <w:widowControl/>
      </w:pPr>
      <w:r>
        <w:rPr>
          <w:b/>
          <w:color w:val="1F4D78"/>
        </w:rPr>
        <w:t xml:space="preserve">Foundry Local overview: </w:t>
      </w:r>
      <w:hyperlink r:id="rId11">
        <w:r>
          <w:rPr>
            <w:color w:val="2E74B5"/>
            <w:u w:val="single"/>
          </w:rPr>
          <w:t>Official documentation</w:t>
        </w:r>
      </w:hyperlink>
      <w:r>
        <w:t>. On-device product boundary, supported platforms, and workload catalog.</w:t>
      </w:r>
    </w:p>
    <w:p>
      <w:pPr>
        <w:pStyle w:val="GuideSmall"/>
        <w:keepNext w:val="0"/>
        <w:keepLines/>
        <w:widowControl/>
      </w:pPr>
      <w:r>
        <w:rPr>
          <w:b/>
          <w:color w:val="1F4D78"/>
        </w:rPr>
        <w:t xml:space="preserve">Foundry Local best practices: </w:t>
      </w:r>
      <w:hyperlink r:id="rId12">
        <w:r>
          <w:rPr>
            <w:color w:val="2E74B5"/>
            <w:u w:val="single"/>
          </w:rPr>
          <w:t>Official documentation</w:t>
        </w:r>
      </w:hyperlink>
      <w:r>
        <w:t>. Production-deployment scope and on-device serving limitations.</w:t>
      </w:r>
    </w:p>
    <w:p>
      <w:pPr>
        <w:pStyle w:val="GuideSmall"/>
        <w:keepNext w:val="0"/>
        <w:keepLines/>
        <w:widowControl/>
      </w:pPr>
      <w:r>
        <w:rPr>
          <w:b/>
          <w:color w:val="1F4D78"/>
        </w:rPr>
        <w:t xml:space="preserve">Foundry Local CLI reference: </w:t>
      </w:r>
      <w:hyperlink r:id="rId13">
        <w:r>
          <w:rPr>
            <w:color w:val="2E74B5"/>
            <w:u w:val="single"/>
          </w:rPr>
          <w:t>Official documentation</w:t>
        </w:r>
      </w:hyperlink>
      <w:r>
        <w:t>. Execution providers, device filters, and accelerator compatibility.</w:t>
      </w:r>
    </w:p>
    <w:p>
      <w:pPr>
        <w:pStyle w:val="GuideSmall"/>
        <w:keepNext w:val="0"/>
        <w:keepLines/>
        <w:widowControl/>
      </w:pPr>
      <w:r>
        <w:rPr>
          <w:b/>
          <w:color w:val="1F4D78"/>
        </w:rPr>
        <w:t xml:space="preserve">Windows AI tutorial: </w:t>
      </w:r>
      <w:hyperlink r:id="rId14">
        <w:r>
          <w:rPr>
            <w:color w:val="2E74B5"/>
            <w:u w:val="single"/>
          </w:rPr>
          <w:t>Official documentation</w:t>
        </w:r>
      </w:hyperlink>
      <w:r>
        <w:t>. Path-specific prerequisites and the approximately 2.53 GB Phi-3.5 Mini example.</w:t>
      </w:r>
    </w:p>
    <w:p>
      <w:pPr>
        <w:pStyle w:val="GuideSmall"/>
        <w:keepNext w:val="0"/>
        <w:keepLines/>
        <w:widowControl/>
      </w:pPr>
      <w:r>
        <w:rPr>
          <w:b/>
          <w:color w:val="1F4D78"/>
        </w:rPr>
        <w:t xml:space="preserve">Foundry Local on Azure Local requirements: </w:t>
      </w:r>
      <w:hyperlink r:id="rId15">
        <w:r>
          <w:rPr>
            <w:color w:val="2E74B5"/>
            <w:u w:val="single"/>
          </w:rPr>
          <w:t>Official documentation</w:t>
        </w:r>
      </w:hyperlink>
      <w:r>
        <w:t>. Worker resources, allocatable memory, cluster count, Kubernetes level, and model cache.</w:t>
      </w:r>
    </w:p>
    <w:p>
      <w:pPr>
        <w:pStyle w:val="GuideSmall"/>
        <w:keepNext w:val="0"/>
        <w:keepLines/>
        <w:widowControl/>
      </w:pPr>
      <w:r>
        <w:rPr>
          <w:b/>
          <w:color w:val="1F4D78"/>
        </w:rPr>
        <w:t xml:space="preserve">AKS on Azure Local scale requirements: </w:t>
      </w:r>
      <w:hyperlink r:id="rId16">
        <w:r>
          <w:rPr>
            <w:color w:val="2E74B5"/>
            <w:u w:val="single"/>
          </w:rPr>
          <w:t>Official documentation</w:t>
        </w:r>
      </w:hyperlink>
      <w:r>
        <w:t>. Local node profiles, GPU families, release gates, and node OS disk.</w:t>
      </w:r>
    </w:p>
    <w:p>
      <w:pPr>
        <w:pStyle w:val="GuideSmall"/>
        <w:keepNext w:val="0"/>
        <w:keepLines/>
        <w:widowControl/>
      </w:pPr>
      <w:r>
        <w:rPr>
          <w:b/>
          <w:color w:val="1F4D78"/>
        </w:rPr>
        <w:t xml:space="preserve">Azure Local GPU preparation: </w:t>
      </w:r>
      <w:hyperlink r:id="rId17">
        <w:r>
          <w:rPr>
            <w:color w:val="2E74B5"/>
            <w:u w:val="single"/>
          </w:rPr>
          <w:t>Official documentation</w:t>
        </w:r>
      </w:hyperlink>
      <w:r>
        <w:t>. DDA and GPU-P boundaries for AKS Arc.</w:t>
      </w:r>
    </w:p>
    <w:p>
      <w:pPr>
        <w:pStyle w:val="GuideSmall"/>
        <w:keepNext w:val="0"/>
        <w:keepLines/>
        <w:widowControl/>
      </w:pPr>
      <w:r>
        <w:rPr>
          <w:b/>
          <w:color w:val="1F4D78"/>
        </w:rPr>
        <w:t xml:space="preserve">Inference runtimes: </w:t>
      </w:r>
      <w:hyperlink r:id="rId18">
        <w:r>
          <w:rPr>
            <w:color w:val="2E74B5"/>
            <w:u w:val="single"/>
          </w:rPr>
          <w:t>Official documentation</w:t>
        </w:r>
      </w:hyperlink>
      <w:r>
        <w:t>. ONNX and vLLM runtime capabilities.</w:t>
      </w:r>
    </w:p>
    <w:p>
      <w:pPr>
        <w:pStyle w:val="GuideSmall"/>
        <w:keepNext w:val="0"/>
        <w:keepLines/>
        <w:widowControl/>
      </w:pPr>
      <w:r>
        <w:rPr>
          <w:b/>
          <w:color w:val="1F4D78"/>
        </w:rPr>
        <w:t xml:space="preserve">vLLM model reference: </w:t>
      </w:r>
      <w:hyperlink r:id="rId19">
        <w:r>
          <w:rPr>
            <w:color w:val="2E74B5"/>
            <w:u w:val="single"/>
          </w:rPr>
          <w:t>Official documentation</w:t>
        </w:r>
      </w:hyperlink>
      <w:r>
        <w:t>. Named model memory figures and A10 benchmark method.</w:t>
      </w:r>
    </w:p>
    <w:p>
      <w:pPr>
        <w:pStyle w:val="GuideSmall"/>
        <w:keepNext w:val="0"/>
        <w:keepLines/>
        <w:widowControl/>
      </w:pPr>
      <w:r>
        <w:rPr>
          <w:b/>
          <w:color w:val="1F4D78"/>
        </w:rPr>
        <w:t xml:space="preserve">ModelDeployment reference: </w:t>
      </w:r>
      <w:hyperlink r:id="rId20">
        <w:r>
          <w:rPr>
            <w:color w:val="2E74B5"/>
            <w:u w:val="single"/>
          </w:rPr>
          <w:t>Official documentation</w:t>
        </w:r>
      </w:hyperlink>
      <w:r>
        <w:t>. Replica limits, requests and limits defaults, and cache settings.</w:t>
      </w:r>
    </w:p>
    <w:p>
      <w:pPr>
        <w:pStyle w:val="GuideSmall"/>
        <w:keepNext w:val="0"/>
        <w:keepLines/>
        <w:widowControl/>
      </w:pPr>
      <w:r>
        <w:rPr>
          <w:b/>
          <w:color w:val="1F4D78"/>
        </w:rPr>
        <w:t xml:space="preserve">Agentic Retrieval requirements: </w:t>
      </w:r>
      <w:hyperlink r:id="rId21">
        <w:r>
          <w:rPr>
            <w:color w:val="2E74B5"/>
            <w:u w:val="single"/>
          </w:rPr>
          <w:t>Official documentation</w:t>
        </w:r>
      </w:hyperlink>
      <w:r>
        <w:t>. CPU, embedding GPU, LLM endpoint, and GPT-OSS-20B requirements.</w:t>
      </w:r>
    </w:p>
    <w:p>
      <w:pPr>
        <w:pStyle w:val="GuideSmall"/>
        <w:keepNext w:val="0"/>
        <w:keepLines/>
        <w:widowControl/>
      </w:pPr>
      <w:r>
        <w:rPr>
          <w:b/>
          <w:color w:val="1F4D78"/>
        </w:rPr>
        <w:t xml:space="preserve">Kubernetes resource management: </w:t>
      </w:r>
      <w:hyperlink r:id="rId22">
        <w:r>
          <w:rPr>
            <w:color w:val="2E74B5"/>
            <w:u w:val="single"/>
          </w:rPr>
          <w:t>Official documentation</w:t>
        </w:r>
      </w:hyperlink>
      <w:r>
        <w:t>. Scheduling from requests and enforcement of limits.</w:t>
      </w:r>
    </w:p>
    <w:p>
      <w:pPr>
        <w:pStyle w:val="GuideSmall"/>
        <w:keepNext w:val="0"/>
        <w:keepLines/>
        <w:widowControl/>
      </w:pPr>
      <w:r>
        <w:rPr>
          <w:b/>
          <w:color w:val="1F4D78"/>
        </w:rPr>
        <w:t xml:space="preserve">Azure Local catalog: </w:t>
      </w:r>
      <w:hyperlink r:id="rId23">
        <w:r>
          <w:rPr>
            <w:color w:val="2E74B5"/>
            <w:u w:val="single"/>
          </w:rPr>
          <w:t>Official documentation</w:t>
        </w:r>
      </w:hyperlink>
      <w:r>
        <w:t>. Validated physical systems for supported Azure Local deployments.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6"/>
      </w:rPr>
      <w:t xml:space="preserve">Reviewed 11 August 2026   |   </w:t>
    </w:r>
    <w:r>
      <w:rPr>
        <w:rFonts w:ascii="Calibri" w:hAnsi="Calibri"/>
        <w:color w:val="5F6B76"/>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B76"/>
        <w:sz w:val="16"/>
      </w:rPr>
      <w:t>HOMESTEAD FOUNDRY  |  HARDWARE SIZING FIELD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Calibri" w:hAnsi="Calibri"/>
      <w:color w:val="1F29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Calibri" w:hAnsi="Calibri"/>
      <w:color w:val="1F293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Small">
    <w:name w:val="Guide Small"/>
    <w:pPr>
      <w:spacing w:after="80" w:line="264" w:lineRule="auto"/>
    </w:pPr>
    <w:rPr>
      <w:rFonts w:ascii="Calibri" w:hAnsi="Calibri"/>
      <w:color w:val="5F6B76"/>
      <w:sz w:val="18"/>
    </w:rPr>
  </w:style>
  <w:style w:type="paragraph" w:customStyle="1" w:styleId="GuideTable">
    <w:name w:val="Guide Table"/>
    <w:pPr>
      <w:widowControl/>
      <w:spacing w:after="0" w:line="252" w:lineRule="auto"/>
    </w:pPr>
    <w:rPr>
      <w:rFonts w:ascii="Calibri" w:hAnsi="Calibri"/>
      <w:color w:val="1F2933"/>
      <w:sz w:val="18"/>
    </w:rPr>
  </w:style>
  <w:style w:type="paragraph" w:customStyle="1" w:styleId="TableCitation">
    <w:name w:val="Table Citation"/>
    <w:pPr>
      <w:spacing w:before="80" w:after="80" w:line="252" w:lineRule="auto"/>
    </w:pPr>
    <w:rPr>
      <w:rFonts w:ascii="Calibri" w:hAnsi="Calibri"/>
      <w:i/>
      <w:color w:val="5F6B76"/>
      <w:sz w:val="17"/>
    </w:rPr>
  </w:style>
  <w:style w:type="paragraph" w:customStyle="1" w:styleId="CoverKicker">
    <w:name w:val="Cover Kicker"/>
    <w:pPr>
      <w:spacing w:after="360"/>
    </w:pPr>
    <w:rPr>
      <w:rFonts w:ascii="Calibri" w:hAnsi="Calibri"/>
      <w:b/>
      <w:color w:val="2E74B5"/>
      <w:sz w:val="20"/>
    </w:rPr>
  </w:style>
  <w:style w:type="paragraph" w:customStyle="1" w:styleId="CoverTitle">
    <w:name w:val="Cover Title"/>
    <w:pPr>
      <w:spacing w:after="280" w:line="240" w:lineRule="auto"/>
    </w:pPr>
    <w:rPr>
      <w:rFonts w:ascii="Calibri" w:hAnsi="Calibri"/>
      <w:b/>
      <w:color w:val="0B2545"/>
      <w:sz w:val="56"/>
    </w:rPr>
  </w:style>
  <w:style w:type="paragraph" w:customStyle="1" w:styleId="CoverSubtitle">
    <w:name w:val="Cover Subtitle"/>
    <w:pPr>
      <w:spacing w:after="440" w:line="276" w:lineRule="auto"/>
    </w:pPr>
    <w:rPr>
      <w:rFonts w:ascii="Calibri" w:hAnsi="Calibri"/>
      <w:color w:val="1F4D78"/>
      <w:sz w:val="30"/>
    </w:rPr>
  </w:style>
  <w:style w:type="paragraph" w:customStyle="1" w:styleId="GuideCallout">
    <w:name w:val="Guide Callout"/>
    <w:pPr>
      <w:spacing w:after="40" w:line="276" w:lineRule="auto"/>
    </w:pPr>
    <w:rPr>
      <w:rFonts w:ascii="Calibri" w:hAnsi="Calibri"/>
      <w:b/>
      <w:color w:val="0B254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azure/foundry-local/what-is-foundry-local" TargetMode="External"/><Relationship Id="rId12" Type="http://schemas.openxmlformats.org/officeDocument/2006/relationships/hyperlink" Target="https://learn.microsoft.com/en-us/azure/foundry-local/reference/reference-best-practice" TargetMode="External"/><Relationship Id="rId13" Type="http://schemas.openxmlformats.org/officeDocument/2006/relationships/hyperlink" Target="https://learn.microsoft.com/en-us/azure/foundry-local/reference/reference-cli" TargetMode="External"/><Relationship Id="rId14" Type="http://schemas.openxmlformats.org/officeDocument/2006/relationships/hyperlink" Target="https://learn.microsoft.com/en-us/windows/ai/foundry-local/get-started" TargetMode="External"/><Relationship Id="rId15" Type="http://schemas.openxmlformats.org/officeDocument/2006/relationships/hyperlink" Target="https://learn.microsoft.com/en-us/azure/azure-sovereign-clouds/private/foundry-local/concept-requirements" TargetMode="External"/><Relationship Id="rId16" Type="http://schemas.openxmlformats.org/officeDocument/2006/relationships/hyperlink" Target="https://learn.microsoft.com/en-us/azure/aks/aksarc/scale-requirements" TargetMode="External"/><Relationship Id="rId17" Type="http://schemas.openxmlformats.org/officeDocument/2006/relationships/hyperlink" Target="https://learn.microsoft.com/en-us/azure/azure-local/manage/gpu-preparation" TargetMode="External"/><Relationship Id="rId18" Type="http://schemas.openxmlformats.org/officeDocument/2006/relationships/hyperlink" Target="https://learn.microsoft.com/en-us/azure/azure-sovereign-clouds/private/foundry-local/concept-inference-runtimes" TargetMode="External"/><Relationship Id="rId19" Type="http://schemas.openxmlformats.org/officeDocument/2006/relationships/hyperlink" Target="https://learn.microsoft.com/en-us/azure/azure-sovereign-clouds/private/foundry-local/reference-models" TargetMode="External"/><Relationship Id="rId20" Type="http://schemas.openxmlformats.org/officeDocument/2006/relationships/hyperlink" Target="https://learn.microsoft.com/en-us/azure/azure-sovereign-clouds/private/foundry-local/reference-model-deployment-operator" TargetMode="External"/><Relationship Id="rId21" Type="http://schemas.openxmlformats.org/officeDocument/2006/relationships/hyperlink" Target="https://learn.microsoft.com/en-us/azure/azure-arc/agents-tools-foundry-local/requirements" TargetMode="External"/><Relationship Id="rId22" Type="http://schemas.openxmlformats.org/officeDocument/2006/relationships/hyperlink" Target="https://kubernetes.io/docs/concepts/configuration/manage-resources-containers/" TargetMode="External"/><Relationship Id="rId23" Type="http://schemas.openxmlformats.org/officeDocument/2006/relationships/hyperlink" Target="https://aka.ms/azurelocalcata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Foundry Local hardware requirements and sizing guide</dc:title>
  <dc:subject>Foundry Local and Foundry Local on Azure Local</dc:subject>
  <dc:creator>Homestead Foundry</dc:creator>
  <cp:keywords>Foundry Local, Azure Local, AKS Arc, hardware sizing, GPU</cp:keywords>
  <dc:description>Primary-source review completed 2026-08-11</dc:description>
  <cp:lastModifiedBy/>
  <cp:revision>1</cp:revision>
  <dcterms:created xsi:type="dcterms:W3CDTF">2013-12-23T23:15:00Z</dcterms:created>
  <dcterms:modified xsi:type="dcterms:W3CDTF">2013-12-23T23:15:00Z</dcterms:modified>
  <cp:category/>
</cp:coreProperties>
</file>