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8A0F5" w14:textId="77777777" w:rsidR="00C22317" w:rsidRDefault="00000000">
      <w:pPr>
        <w:spacing w:before="480" w:after="80"/>
        <w:jc w:val="center"/>
      </w:pPr>
      <w:r>
        <w:rPr>
          <w:b/>
          <w:color w:val="1B365D"/>
          <w:sz w:val="48"/>
        </w:rPr>
        <w:t>PRODUCT REQUIREMENT DOCUMENT (PRD)</w:t>
      </w:r>
    </w:p>
    <w:p w14:paraId="05D38BAF" w14:textId="77777777" w:rsidR="00C22317" w:rsidRDefault="00000000">
      <w:pPr>
        <w:spacing w:after="480"/>
        <w:jc w:val="center"/>
      </w:pPr>
      <w:r>
        <w:rPr>
          <w:i/>
          <w:color w:val="5C768D"/>
          <w:sz w:val="28"/>
        </w:rPr>
        <w:t>CitizenOS: AI-Powered Multilingual Digital Citizen Assistant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C22317" w14:paraId="53A50B3F" w14:textId="77777777">
        <w:tc>
          <w:tcPr>
            <w:tcW w:w="468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2604A" w14:textId="77777777" w:rsidR="00C22317" w:rsidRDefault="00000000">
            <w:r>
              <w:rPr>
                <w:color w:val="666666"/>
                <w:sz w:val="19"/>
              </w:rPr>
              <w:t>Document Version: 1.0.0</w:t>
            </w:r>
          </w:p>
        </w:tc>
        <w:tc>
          <w:tcPr>
            <w:tcW w:w="468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4B4B3" w14:textId="77777777" w:rsidR="00C22317" w:rsidRDefault="00000000">
            <w:r>
              <w:rPr>
                <w:color w:val="666666"/>
                <w:sz w:val="19"/>
              </w:rPr>
              <w:t>Target Audience: Engineering &amp; Product Teams</w:t>
            </w:r>
          </w:p>
        </w:tc>
      </w:tr>
      <w:tr w:rsidR="00C22317" w14:paraId="453280E1" w14:textId="77777777">
        <w:tc>
          <w:tcPr>
            <w:tcW w:w="468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D5004" w14:textId="77777777" w:rsidR="00C22317" w:rsidRDefault="00000000">
            <w:r>
              <w:rPr>
                <w:color w:val="666666"/>
                <w:sz w:val="19"/>
              </w:rPr>
              <w:t>Status: Approved / Production Draft</w:t>
            </w:r>
          </w:p>
        </w:tc>
        <w:tc>
          <w:tcPr>
            <w:tcW w:w="4680" w:type="dxa"/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3AB60" w14:textId="77777777" w:rsidR="00C22317" w:rsidRDefault="00000000">
            <w:r>
              <w:rPr>
                <w:color w:val="666666"/>
                <w:sz w:val="19"/>
              </w:rPr>
              <w:t>Date: July 2026</w:t>
            </w:r>
          </w:p>
        </w:tc>
      </w:tr>
    </w:tbl>
    <w:p w14:paraId="3D870D15" w14:textId="77777777" w:rsidR="00C22317" w:rsidRDefault="00C22317">
      <w:pPr>
        <w:spacing w:after="240"/>
      </w:pPr>
    </w:p>
    <w:p w14:paraId="010DB434" w14:textId="77777777" w:rsidR="00C22317" w:rsidRDefault="00000000">
      <w:pPr>
        <w:keepNext/>
        <w:pBdr>
          <w:bottom w:val="single" w:sz="12" w:space="4" w:color="1B365D"/>
        </w:pBdr>
        <w:spacing w:before="360"/>
      </w:pPr>
      <w:r>
        <w:rPr>
          <w:b/>
          <w:color w:val="1B365D"/>
          <w:sz w:val="32"/>
        </w:rPr>
        <w:t>1. Product Vision &amp; Executive Summary</w:t>
      </w:r>
    </w:p>
    <w:p w14:paraId="05C6CCA4" w14:textId="77777777" w:rsidR="00C22317" w:rsidRDefault="00000000">
      <w:r>
        <w:t>Most current civic technology implementations treat government service delivery as a transactional text retrieval task: 'ask a question, receive a raw static text answer.' CitizenOS reframes the civic technology paradigm by delivering a true Citizen Operating System—an AI-powered, multilingual digital interface that transforms the fragmented labyrinth of thousands of disparate municipal, state, and central government websites into a unified voice-first assistant. The vision is to build a highly available personalized digital government officer for every citizen.</w:t>
      </w:r>
    </w:p>
    <w:p w14:paraId="36A56754" w14:textId="77777777" w:rsidR="00C22317" w:rsidRDefault="00000000">
      <w:pPr>
        <w:pBdr>
          <w:left w:val="single" w:sz="24" w:space="12" w:color="1B365D"/>
        </w:pBdr>
        <w:shd w:val="clear" w:color="auto" w:fill="F4F6F8"/>
        <w:spacing w:before="160" w:after="160"/>
        <w:ind w:left="360" w:right="360"/>
      </w:pPr>
      <w:r>
        <w:rPr>
          <w:i/>
          <w:color w:val="444444"/>
          <w:sz w:val="20"/>
        </w:rPr>
        <w:t>Vision Statement: One AI. Every Government Service. Every Indian Citizen. Shift interactions from a passive search layout to proactive, automated eligibility navigation where a user speaks naturally in their native dialect and the platform handles orchestration, extraction, verification, compliance checking, and multi-channel synchronization.</w:t>
      </w:r>
    </w:p>
    <w:p w14:paraId="0279C5E3" w14:textId="77777777" w:rsidR="00C22317" w:rsidRDefault="00000000">
      <w:pPr>
        <w:keepNext/>
        <w:spacing w:before="240" w:after="80"/>
      </w:pPr>
      <w:r>
        <w:rPr>
          <w:b/>
          <w:color w:val="2E6F40"/>
          <w:sz w:val="26"/>
        </w:rPr>
        <w:t>1.1 Core Strategic Objectives</w:t>
      </w:r>
    </w:p>
    <w:p w14:paraId="14A94AD1" w14:textId="77777777" w:rsidR="00C22317" w:rsidRDefault="00000000">
      <w:pPr>
        <w:pStyle w:val="ListBullet"/>
        <w:spacing w:after="60"/>
      </w:pPr>
      <w:r>
        <w:rPr>
          <w:b/>
        </w:rPr>
        <w:t>Universal Access:</w:t>
      </w:r>
      <w:r>
        <w:t xml:space="preserve"> Democratize access to government schemes across literacy and language barriers.</w:t>
      </w:r>
    </w:p>
    <w:p w14:paraId="3DA7F3FE" w14:textId="77777777" w:rsidR="00C22317" w:rsidRDefault="00000000">
      <w:pPr>
        <w:pStyle w:val="ListBullet"/>
        <w:spacing w:after="60"/>
      </w:pPr>
      <w:r>
        <w:rPr>
          <w:b/>
        </w:rPr>
        <w:t>Dynamic Personalization:</w:t>
      </w:r>
      <w:r>
        <w:t xml:space="preserve"> Transition from an information-pull architecture to a proactive recommendation system.</w:t>
      </w:r>
    </w:p>
    <w:p w14:paraId="6F482D5D" w14:textId="77777777" w:rsidR="00C22317" w:rsidRDefault="00000000">
      <w:pPr>
        <w:pStyle w:val="ListBullet"/>
        <w:spacing w:after="60"/>
      </w:pPr>
      <w:r>
        <w:rPr>
          <w:b/>
        </w:rPr>
        <w:t>Zero-Friction Compliance:</w:t>
      </w:r>
      <w:r>
        <w:t xml:space="preserve"> Minimize application failures by automating pre-screening document verification at the edge.</w:t>
      </w:r>
    </w:p>
    <w:p w14:paraId="3F013DAC" w14:textId="77777777" w:rsidR="00C22317" w:rsidRDefault="00000000">
      <w:pPr>
        <w:keepNext/>
        <w:pBdr>
          <w:bottom w:val="single" w:sz="12" w:space="4" w:color="1B365D"/>
        </w:pBdr>
        <w:spacing w:before="360"/>
      </w:pPr>
      <w:r>
        <w:rPr>
          <w:b/>
          <w:color w:val="1B365D"/>
          <w:sz w:val="32"/>
        </w:rPr>
        <w:t>2. Problem Research &amp; Deep-Dive Pain Points</w:t>
      </w:r>
    </w:p>
    <w:p w14:paraId="2DA7D71D" w14:textId="77777777" w:rsidR="00C22317" w:rsidRDefault="00000000">
      <w:r>
        <w:t>India features over 2,000+ distinct central and state government social welfare schemes. The structural barrier is not the absence or inadequacy of funding or initiatives; rather, it is extreme systemic information fragmentation coupled with accessibility friction points.</w:t>
      </w:r>
    </w:p>
    <w:p w14:paraId="1AF42F08" w14:textId="77777777" w:rsidR="00C22317" w:rsidRDefault="00000000">
      <w:pPr>
        <w:keepNext/>
        <w:spacing w:before="240" w:after="80"/>
      </w:pPr>
      <w:r>
        <w:rPr>
          <w:b/>
          <w:color w:val="2E6F40"/>
          <w:sz w:val="26"/>
        </w:rPr>
        <w:lastRenderedPageBreak/>
        <w:t>2.1 Major Technical &amp; Societal Friction Points</w:t>
      </w:r>
    </w:p>
    <w:p w14:paraId="24BD01ED" w14:textId="77777777" w:rsidR="00C22317" w:rsidRDefault="00000000">
      <w:pPr>
        <w:pStyle w:val="ListBullet"/>
        <w:spacing w:after="60"/>
      </w:pPr>
      <w:r>
        <w:rPr>
          <w:b/>
        </w:rPr>
        <w:t>Information Fragmentation:</w:t>
      </w:r>
      <w:r>
        <w:t xml:space="preserve"> Schemes are distributed across central ministries, state-level departments, district portals, municipal websites, Common Service Centre (CSC) configurations, DigiLocker, UMANG, and MyScheme. Citizens are forced to know the administrative structure beforehand.</w:t>
      </w:r>
    </w:p>
    <w:p w14:paraId="01FFA789" w14:textId="77777777" w:rsidR="00C22317" w:rsidRDefault="00000000">
      <w:pPr>
        <w:pStyle w:val="ListBullet"/>
        <w:spacing w:after="60"/>
      </w:pPr>
      <w:r>
        <w:rPr>
          <w:b/>
        </w:rPr>
        <w:t>Language Barriers:</w:t>
      </w:r>
      <w:r>
        <w:t xml:space="preserve"> The vast majority of comprehensive regulatory documentation is hosted in precise administrative English or formal standardized Hindi. Rural or localized populations speaking regional languages find the portal layouts entirely unusable.</w:t>
      </w:r>
    </w:p>
    <w:p w14:paraId="47CADC5B" w14:textId="77777777" w:rsidR="00C22317" w:rsidRDefault="00000000">
      <w:pPr>
        <w:pStyle w:val="ListBullet"/>
        <w:spacing w:after="60"/>
      </w:pPr>
      <w:r>
        <w:rPr>
          <w:b/>
        </w:rPr>
        <w:t>Bureaucratic Complexity:</w:t>
      </w:r>
      <w:r>
        <w:t xml:space="preserve"> Administrative clauses (e.g., 'Applicants satisfying section 7.3.2...') cause cognitive drop-offs. Citizens require real-time conversion into transparent, human-readable baseline conditions (e.g., 'Your annual household income must be strictly under ₹3,00,000').</w:t>
      </w:r>
    </w:p>
    <w:p w14:paraId="4C7461A2" w14:textId="77777777" w:rsidR="00C22317" w:rsidRDefault="00000000">
      <w:pPr>
        <w:pStyle w:val="ListBullet"/>
        <w:spacing w:after="60"/>
      </w:pPr>
      <w:r>
        <w:rPr>
          <w:b/>
        </w:rPr>
        <w:t>Digital Literacy Gaps:</w:t>
      </w:r>
      <w:r>
        <w:t xml:space="preserve"> A large percentage of the eligible beneficiary baseline is incapable of compiling multi-format compressed PDFs, completing deep multi-step nested digital web forms, or executing precise text queries.</w:t>
      </w:r>
    </w:p>
    <w:p w14:paraId="27D254C7" w14:textId="77777777" w:rsidR="00C22317" w:rsidRDefault="00000000">
      <w:pPr>
        <w:pStyle w:val="ListBullet"/>
        <w:spacing w:after="60"/>
      </w:pPr>
      <w:r>
        <w:rPr>
          <w:b/>
        </w:rPr>
        <w:t>Absence of Contextual Memory:</w:t>
      </w:r>
      <w:r>
        <w:t xml:space="preserve"> Current platforms function as flat search indices. They lack historical user memory or relationship graph contexts to deduce when a lifecycle change modifies a family's aggregate eligibility rules.</w:t>
      </w:r>
    </w:p>
    <w:p w14:paraId="4B0B105D" w14:textId="77777777" w:rsidR="00C22317" w:rsidRDefault="00000000">
      <w:pPr>
        <w:keepNext/>
        <w:pBdr>
          <w:bottom w:val="single" w:sz="12" w:space="4" w:color="1B365D"/>
        </w:pBdr>
        <w:spacing w:before="360"/>
      </w:pPr>
      <w:r>
        <w:rPr>
          <w:b/>
          <w:color w:val="1B365D"/>
          <w:sz w:val="32"/>
        </w:rPr>
        <w:t>3. Existing Solutions Gap Analysis</w:t>
      </w:r>
    </w:p>
    <w:p w14:paraId="027F90DD" w14:textId="77777777" w:rsidR="00C22317" w:rsidRDefault="00000000">
      <w:r>
        <w:t>A strict assessment of the current production landscape establishes why a wrapper model fails and why an orchestrated operating system layer is required.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22317" w14:paraId="01430452" w14:textId="77777777" w:rsidTr="00C223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E50FED" w14:textId="77777777" w:rsidR="00C22317" w:rsidRDefault="00000000">
            <w:r>
              <w:rPr>
                <w:color w:val="FFFFFF"/>
              </w:rPr>
              <w:t>Existing Framework</w:t>
            </w:r>
          </w:p>
        </w:tc>
        <w:tc>
          <w:tcPr>
            <w:tcW w:w="312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A0E64B" w14:textId="77777777" w:rsidR="00C223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Functional Strengths</w:t>
            </w:r>
          </w:p>
        </w:tc>
        <w:tc>
          <w:tcPr>
            <w:tcW w:w="312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AFAB15" w14:textId="77777777" w:rsidR="00C223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Structural Architectural Weaknesses</w:t>
            </w:r>
          </w:p>
        </w:tc>
      </w:tr>
      <w:tr w:rsidR="00C22317" w14:paraId="6CD60008" w14:textId="77777777" w:rsidTr="00C223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098068" w14:textId="77777777" w:rsidR="00C22317" w:rsidRDefault="00000000">
            <w:r>
              <w:t>MyScheme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8FB541" w14:textId="77777777" w:rsidR="00C223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Comprehensive official schema database; structured categorization frameworks.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2948AE" w14:textId="77777777" w:rsidR="00C223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Completely static filter-driven UI. Lacks conversational parsing, proactive contextual deduction, or document readiness verification.</w:t>
            </w:r>
          </w:p>
        </w:tc>
      </w:tr>
      <w:tr w:rsidR="00C22317" w14:paraId="719AF340" w14:textId="77777777" w:rsidTr="00C22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CC19AB" w14:textId="77777777" w:rsidR="00C22317" w:rsidRDefault="00000000">
            <w:r>
              <w:t>UMANG</w:t>
            </w:r>
          </w:p>
        </w:tc>
        <w:tc>
          <w:tcPr>
            <w:tcW w:w="312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01A6C9" w14:textId="77777777" w:rsidR="00C223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Massive central consolidation point for thousands of back-end government APIs and service hooks.</w:t>
            </w:r>
          </w:p>
        </w:tc>
        <w:tc>
          <w:tcPr>
            <w:tcW w:w="312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685BEA" w14:textId="77777777" w:rsidR="00C223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Extremely steep navigation learning curve. Complex UI layout often triggers cognitive overload for low-literacy users.</w:t>
            </w:r>
          </w:p>
        </w:tc>
      </w:tr>
      <w:tr w:rsidR="00C22317" w14:paraId="4F43632B" w14:textId="77777777" w:rsidTr="00C223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72D6E2" w14:textId="77777777" w:rsidR="00C22317" w:rsidRDefault="00000000">
            <w:r>
              <w:t>BHASHINI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AA8707" w14:textId="77777777" w:rsidR="00C223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State-of-the-art native speech-to-text, translation, and localized speech synthesis models.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0AD2BD" w14:textId="77777777" w:rsidR="00C223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Functions as a stateless translation utility layer. Lacks logical reasoning, memory state maintenance, or database indexing capabilities.</w:t>
            </w:r>
          </w:p>
        </w:tc>
      </w:tr>
    </w:tbl>
    <w:p w14:paraId="67403F89" w14:textId="77777777" w:rsidR="00C22317" w:rsidRDefault="00C22317">
      <w:pPr>
        <w:spacing w:after="240"/>
      </w:pPr>
    </w:p>
    <w:p w14:paraId="26D25F96" w14:textId="77777777" w:rsidR="00C22317" w:rsidRDefault="00000000">
      <w:pPr>
        <w:keepNext/>
        <w:pBdr>
          <w:bottom w:val="single" w:sz="12" w:space="4" w:color="1B365D"/>
        </w:pBdr>
        <w:spacing w:before="360"/>
      </w:pPr>
      <w:r>
        <w:rPr>
          <w:b/>
          <w:color w:val="1B365D"/>
          <w:sz w:val="32"/>
        </w:rPr>
        <w:lastRenderedPageBreak/>
        <w:t>4. Core System Architecture &amp; AI Pipeline</w:t>
      </w:r>
    </w:p>
    <w:p w14:paraId="6FA9B7C9" w14:textId="77777777" w:rsidR="00C22317" w:rsidRDefault="00000000">
      <w:r>
        <w:t>The underlying runtime pattern must operate as a strict stateful pipeline to handle unstructured indic audio/text input, translate it to an analytical system space, evaluate logic against structured graphs, and stream back conversational instructions.</w:t>
      </w:r>
    </w:p>
    <w:p w14:paraId="5CFC7FFF" w14:textId="77777777" w:rsidR="00C22317" w:rsidRDefault="00000000">
      <w:pPr>
        <w:pBdr>
          <w:left w:val="single" w:sz="24" w:space="12" w:color="1B365D"/>
        </w:pBdr>
        <w:shd w:val="clear" w:color="auto" w:fill="F4F6F8"/>
        <w:spacing w:before="160" w:after="160"/>
        <w:ind w:left="360" w:right="360"/>
      </w:pPr>
      <w:r>
        <w:rPr>
          <w:i/>
          <w:color w:val="444444"/>
          <w:sz w:val="20"/>
        </w:rPr>
        <w:t>Pipeline Topography: User Query Input (Voice/Text) -&gt; Automated Language Profile Auto-Detection -&gt; Normalization Translation (Target System Domain) -&gt; Hybrid Vector &amp; Graph Knowledge Engine -&gt; Conversational Eligibility Verification Matrix Scoring -&gt; Localized Persona Context Realization -&gt; Target Regional Translation Output Layer</w:t>
      </w:r>
    </w:p>
    <w:p w14:paraId="5DC73BB7" w14:textId="77777777" w:rsidR="00C22317" w:rsidRDefault="00000000">
      <w:pPr>
        <w:keepNext/>
        <w:pBdr>
          <w:bottom w:val="single" w:sz="12" w:space="4" w:color="1B365D"/>
        </w:pBdr>
        <w:spacing w:before="360"/>
      </w:pPr>
      <w:r>
        <w:rPr>
          <w:b/>
          <w:color w:val="1B365D"/>
          <w:sz w:val="32"/>
        </w:rPr>
        <w:t>5. Technical Module Specifications</w:t>
      </w:r>
    </w:p>
    <w:p w14:paraId="3F4AD2C4" w14:textId="77777777" w:rsidR="00C22317" w:rsidRDefault="00000000">
      <w:pPr>
        <w:keepNext/>
        <w:spacing w:before="240" w:after="80"/>
      </w:pPr>
      <w:r>
        <w:rPr>
          <w:b/>
          <w:color w:val="2E6F40"/>
          <w:sz w:val="26"/>
        </w:rPr>
        <w:t>5.1 Government Knowledge Graph &amp; Hybrid RAG Engine</w:t>
      </w:r>
    </w:p>
    <w:p w14:paraId="348489A3" w14:textId="77777777" w:rsidR="00C22317" w:rsidRDefault="00000000">
      <w:pPr>
        <w:pStyle w:val="ListBullet"/>
        <w:spacing w:after="60"/>
      </w:pPr>
      <w:r>
        <w:rPr>
          <w:b/>
        </w:rPr>
        <w:t>Knowledge Structuring:</w:t>
      </w:r>
      <w:r>
        <w:t xml:space="preserve"> Policies are parsed out of raw text/PDFs into strictly defined object relations mapping properties: SchemeName, Department, IncomeLimit, RegionalConstraints, MandatoryDocuments, BenefitPayload, and ExpiryDeadlines.</w:t>
      </w:r>
    </w:p>
    <w:p w14:paraId="5BA10349" w14:textId="77777777" w:rsidR="00C22317" w:rsidRDefault="00000000">
      <w:pPr>
        <w:pStyle w:val="ListBullet"/>
        <w:spacing w:after="60"/>
      </w:pPr>
      <w:r>
        <w:rPr>
          <w:b/>
        </w:rPr>
        <w:t>Hybrid Pipeline Execution:</w:t>
      </w:r>
      <w:r>
        <w:t xml:space="preserve"> Queries run across a combined retrieval index utilizing dense multilingual embeddings (BGE-M3) in Qdrant, structured token keyword filters, and discrete Graph DB node constraints to eliminate LLM hallucinations.</w:t>
      </w:r>
    </w:p>
    <w:p w14:paraId="4B07F5E3" w14:textId="77777777" w:rsidR="00C22317" w:rsidRDefault="00000000">
      <w:pPr>
        <w:keepNext/>
        <w:spacing w:before="240" w:after="80"/>
      </w:pPr>
      <w:r>
        <w:rPr>
          <w:b/>
          <w:color w:val="2E6F40"/>
          <w:sz w:val="26"/>
        </w:rPr>
        <w:t>5.2 Interactive Eligibility Scoring Engine</w:t>
      </w:r>
    </w:p>
    <w:p w14:paraId="0B70F4A9" w14:textId="77777777" w:rsidR="00C22317" w:rsidRDefault="00000000">
      <w:pPr>
        <w:pStyle w:val="ListBullet"/>
        <w:spacing w:after="60"/>
      </w:pPr>
      <w:r>
        <w:rPr>
          <w:b/>
        </w:rPr>
        <w:t>Dynamic Interview Framework:</w:t>
      </w:r>
      <w:r>
        <w:t xml:space="preserve"> Instead of presenting static forms, the conversational manager orchestrates a dynamic sequence of target diagnostic questions to construct a complete attributes vector (Age, Income, Sector, Gender, Region, Disabilities).</w:t>
      </w:r>
    </w:p>
    <w:p w14:paraId="0766C027" w14:textId="77777777" w:rsidR="00C22317" w:rsidRDefault="00000000">
      <w:pPr>
        <w:pStyle w:val="ListBullet"/>
        <w:spacing w:after="60"/>
      </w:pPr>
      <w:r>
        <w:rPr>
          <w:b/>
        </w:rPr>
        <w:t>Match Score Mechanics:</w:t>
      </w:r>
      <w:r>
        <w:t xml:space="preserve"> Calculates real-time probabilistic compatibility weights across active welfare schemes, returning structured match configurations (e.g., PM-KISAN: 98%, PMFBY: 96%).</w:t>
      </w:r>
    </w:p>
    <w:p w14:paraId="0BE659F5" w14:textId="77777777" w:rsidR="00C22317" w:rsidRDefault="00000000">
      <w:pPr>
        <w:keepNext/>
        <w:spacing w:before="240" w:after="80"/>
      </w:pPr>
      <w:r>
        <w:rPr>
          <w:b/>
          <w:color w:val="2E6F40"/>
          <w:sz w:val="26"/>
        </w:rPr>
        <w:t>5.3 Document Intelligence &amp; Security Sandbox</w:t>
      </w:r>
    </w:p>
    <w:p w14:paraId="1F15D1EA" w14:textId="77777777" w:rsidR="00C22317" w:rsidRDefault="00000000">
      <w:pPr>
        <w:pStyle w:val="ListBullet"/>
        <w:spacing w:after="60"/>
      </w:pPr>
      <w:r>
        <w:rPr>
          <w:b/>
        </w:rPr>
        <w:t>Edge Parsing Logic:</w:t>
      </w:r>
      <w:r>
        <w:t xml:space="preserve"> Handles client-side snapshot file submissions using PaddleOCR to extract field values across identities (Aadhaar, PAN, Income Certs). Runs field cross-checking to identify expired validations, blurry formatting, or structural missing elements.</w:t>
      </w:r>
    </w:p>
    <w:p w14:paraId="2322C38B" w14:textId="77777777" w:rsidR="00C22317" w:rsidRDefault="00000000">
      <w:pPr>
        <w:pStyle w:val="ListBullet"/>
        <w:spacing w:after="60"/>
      </w:pPr>
      <w:r>
        <w:rPr>
          <w:b/>
        </w:rPr>
        <w:t>Privacy Isolation Guardrails:</w:t>
      </w:r>
      <w:r>
        <w:t xml:space="preserve"> All unique 12-digit national identification configurations (Aadhaar data payloads) must be completely redacted, handled exclusively in ephemeral volatile RAM, masked inside UI views, and systematically scrubbed from all analytics log traces.</w:t>
      </w:r>
    </w:p>
    <w:p w14:paraId="07B4748E" w14:textId="77777777" w:rsidR="00C22317" w:rsidRDefault="00000000">
      <w:pPr>
        <w:keepNext/>
        <w:spacing w:before="240" w:after="80"/>
      </w:pPr>
      <w:r>
        <w:rPr>
          <w:b/>
          <w:color w:val="2E6F40"/>
          <w:sz w:val="26"/>
        </w:rPr>
        <w:t>5.4 Lifecycle Engine &amp; Family Wallet</w:t>
      </w:r>
    </w:p>
    <w:p w14:paraId="30E822E2" w14:textId="77777777" w:rsidR="00C22317" w:rsidRDefault="00000000">
      <w:pPr>
        <w:pStyle w:val="ListBullet"/>
        <w:spacing w:after="60"/>
      </w:pPr>
      <w:r>
        <w:rPr>
          <w:b/>
        </w:rPr>
        <w:t>Context Preservation:</w:t>
      </w:r>
      <w:r>
        <w:t xml:space="preserve"> Tracks multi-tenant household node frameworks (Grandparents, Parents, Spouses, Children) to check for aggregate dependency welfare modifications.</w:t>
      </w:r>
    </w:p>
    <w:p w14:paraId="548F13E3" w14:textId="77777777" w:rsidR="00C22317" w:rsidRDefault="00000000">
      <w:pPr>
        <w:pStyle w:val="ListBullet"/>
        <w:spacing w:after="60"/>
      </w:pPr>
      <w:r>
        <w:rPr>
          <w:b/>
        </w:rPr>
        <w:t>Proactive Life Event Monitoring:</w:t>
      </w:r>
      <w:r>
        <w:t xml:space="preserve"> Detects structural everyday milestones (e.g., 'Child reaches age 6') to automatically suggest connected actions like school education enrollment grant applications.</w:t>
      </w:r>
    </w:p>
    <w:p w14:paraId="0FFAD8DD" w14:textId="77777777" w:rsidR="00C22317" w:rsidRDefault="00000000">
      <w:pPr>
        <w:keepNext/>
        <w:spacing w:before="240" w:after="80"/>
      </w:pPr>
      <w:r>
        <w:rPr>
          <w:b/>
          <w:color w:val="2E6F40"/>
          <w:sz w:val="26"/>
        </w:rPr>
        <w:lastRenderedPageBreak/>
        <w:t>5.5 Anti-Fraud Engine &amp; Public Grievance Assistant</w:t>
      </w:r>
    </w:p>
    <w:p w14:paraId="255E5141" w14:textId="77777777" w:rsidR="00C22317" w:rsidRDefault="00000000">
      <w:pPr>
        <w:pStyle w:val="ListBullet"/>
        <w:spacing w:after="60"/>
      </w:pPr>
      <w:r>
        <w:rPr>
          <w:b/>
        </w:rPr>
        <w:t>Scam Detection Validation:</w:t>
      </w:r>
      <w:r>
        <w:t xml:space="preserve"> Parses submitted links against pattern-matching registers of authenticated domains (*.gov.in, *.nic.in) to flag phishing operations with clear safety icons.</w:t>
      </w:r>
    </w:p>
    <w:p w14:paraId="2E600295" w14:textId="77777777" w:rsidR="00C22317" w:rsidRDefault="00000000">
      <w:pPr>
        <w:pStyle w:val="ListBullet"/>
        <w:spacing w:after="60"/>
      </w:pPr>
      <w:r>
        <w:rPr>
          <w:b/>
        </w:rPr>
        <w:t>Automated Grievance Structuring:</w:t>
      </w:r>
      <w:r>
        <w:t xml:space="preserve"> Maps plain-text issues (e.g., 'Power billing anomalies') directly to responsible nodal agencies, automatically structures formal complaint files, and tracks tracking numbers.</w:t>
      </w:r>
    </w:p>
    <w:p w14:paraId="344FCB0C" w14:textId="77777777" w:rsidR="00C22317" w:rsidRDefault="00000000">
      <w:pPr>
        <w:keepNext/>
        <w:pBdr>
          <w:bottom w:val="single" w:sz="12" w:space="4" w:color="1B365D"/>
        </w:pBdr>
        <w:spacing w:before="360"/>
      </w:pPr>
      <w:r>
        <w:rPr>
          <w:b/>
          <w:color w:val="1B365D"/>
          <w:sz w:val="32"/>
        </w:rPr>
        <w:t>6. Operational Channels &amp; Edge Optimization</w:t>
      </w:r>
    </w:p>
    <w:p w14:paraId="742D58AF" w14:textId="77777777" w:rsidR="00C22317" w:rsidRDefault="00000000">
      <w:pPr>
        <w:keepNext/>
        <w:spacing w:before="240" w:after="80"/>
      </w:pPr>
      <w:r>
        <w:rPr>
          <w:b/>
          <w:color w:val="2E6F40"/>
          <w:sz w:val="26"/>
        </w:rPr>
        <w:t>6.1 Multi-Channel Accessibility Targets</w:t>
      </w:r>
    </w:p>
    <w:p w14:paraId="0AB01CCD" w14:textId="77777777" w:rsidR="00C22317" w:rsidRDefault="00000000">
      <w:pPr>
        <w:pStyle w:val="ListBullet"/>
        <w:spacing w:after="60"/>
      </w:pPr>
      <w:r>
        <w:rPr>
          <w:b/>
        </w:rPr>
        <w:t>WhatsApp Business Interface:</w:t>
      </w:r>
      <w:r>
        <w:t xml:space="preserve"> Direct automation pipeline allowing users to stream audio queries, upload identity pictures, and receive native action items through interactive buttons without requiring application installation.</w:t>
      </w:r>
    </w:p>
    <w:p w14:paraId="214D9541" w14:textId="77777777" w:rsidR="00C22317" w:rsidRDefault="00000000">
      <w:pPr>
        <w:pStyle w:val="ListBullet"/>
        <w:spacing w:after="60"/>
      </w:pPr>
      <w:r>
        <w:rPr>
          <w:b/>
        </w:rPr>
        <w:t>Interactive Voice Response (IVR):</w:t>
      </w:r>
      <w:r>
        <w:t xml:space="preserve"> Standard telephony interface capturing raw voice data streams, passing payloads to the FastAPI core processing pipeline, and generating synthesised audio guidelines for non-smartphone populations.</w:t>
      </w:r>
    </w:p>
    <w:p w14:paraId="38639B9B" w14:textId="77777777" w:rsidR="00C22317" w:rsidRDefault="00000000">
      <w:pPr>
        <w:pStyle w:val="ListBullet"/>
        <w:spacing w:after="60"/>
      </w:pPr>
      <w:r>
        <w:rPr>
          <w:b/>
        </w:rPr>
        <w:t>Offline Mesh Optimization Network:</w:t>
      </w:r>
      <w:r>
        <w:t xml:space="preserve"> Caches local eligibility rule tables to function seamlessly in remote locations, queuing transaction requests to be uploaded via background cellular SMS strings when network access drops.</w:t>
      </w:r>
    </w:p>
    <w:p w14:paraId="60555D9A" w14:textId="77777777" w:rsidR="00C22317" w:rsidRDefault="00000000">
      <w:pPr>
        <w:keepNext/>
        <w:pBdr>
          <w:bottom w:val="single" w:sz="12" w:space="4" w:color="1B365D"/>
        </w:pBdr>
        <w:spacing w:before="360"/>
      </w:pPr>
      <w:r>
        <w:rPr>
          <w:b/>
          <w:color w:val="1B365D"/>
          <w:sz w:val="32"/>
        </w:rPr>
        <w:t>7. Complete Engineering Reference Technology Stack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22317" w14:paraId="3E30496B" w14:textId="77777777" w:rsidTr="00C223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2E6F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F4C40C" w14:textId="77777777" w:rsidR="00C22317" w:rsidRDefault="00000000">
            <w:r>
              <w:rPr>
                <w:color w:val="FFFFFF"/>
              </w:rPr>
              <w:t>Infrastructure Layer</w:t>
            </w:r>
          </w:p>
        </w:tc>
        <w:tc>
          <w:tcPr>
            <w:tcW w:w="3120" w:type="dxa"/>
            <w:shd w:val="clear" w:color="auto" w:fill="2E6F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11D7CD" w14:textId="77777777" w:rsidR="00C223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Selected Technology Component</w:t>
            </w:r>
          </w:p>
        </w:tc>
        <w:tc>
          <w:tcPr>
            <w:tcW w:w="3120" w:type="dxa"/>
            <w:shd w:val="clear" w:color="auto" w:fill="2E6F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90AC56" w14:textId="77777777" w:rsidR="00C223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Engineering &amp; Architectural Rationale</w:t>
            </w:r>
          </w:p>
        </w:tc>
      </w:tr>
      <w:tr w:rsidR="00C22317" w14:paraId="1A0E127D" w14:textId="77777777" w:rsidTr="00C223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7D502E" w14:textId="77777777" w:rsidR="00C22317" w:rsidRDefault="00000000">
            <w:r>
              <w:t>Frontend UI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79EB66" w14:textId="77777777" w:rsidR="00C223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Next.js / TypeScript / Tailwind CSS / shadcn/ui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48771A" w14:textId="77777777" w:rsidR="00C223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Provides lightweight component loading and smooth layouts on low-tier mobile devices.</w:t>
            </w:r>
          </w:p>
        </w:tc>
      </w:tr>
      <w:tr w:rsidR="00C22317" w14:paraId="2E995FE3" w14:textId="77777777" w:rsidTr="00C22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E80A92" w14:textId="77777777" w:rsidR="00C22317" w:rsidRDefault="00000000">
            <w:r>
              <w:t>Backend Layer</w:t>
            </w:r>
          </w:p>
        </w:tc>
        <w:tc>
          <w:tcPr>
            <w:tcW w:w="312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EA4F9D" w14:textId="0427EB81" w:rsidR="00C22317" w:rsidRDefault="00795A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Node.js</w:t>
            </w:r>
            <w:r w:rsidR="00000000">
              <w:t xml:space="preserve"> / Docker Containers</w:t>
            </w:r>
          </w:p>
        </w:tc>
        <w:tc>
          <w:tcPr>
            <w:tcW w:w="312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FD2C4C" w14:textId="77777777" w:rsidR="00C223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Asynchronous request-response capabilities, ideal for handling long-polling streaming AI and real-time audio data.</w:t>
            </w:r>
          </w:p>
        </w:tc>
      </w:tr>
      <w:tr w:rsidR="00C22317" w14:paraId="49B90EE1" w14:textId="77777777" w:rsidTr="00C223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00601B" w14:textId="77777777" w:rsidR="00C22317" w:rsidRDefault="00000000">
            <w:r>
              <w:t>Database &amp; Search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73C114" w14:textId="77777777" w:rsidR="00C223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PostgreSQL / Qdrant Vector DB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C2EADD" w14:textId="77777777" w:rsidR="00C223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Combines reliable relational user profile storage with high-performance multilingual vector indexing.</w:t>
            </w:r>
          </w:p>
        </w:tc>
      </w:tr>
      <w:tr w:rsidR="00C22317" w14:paraId="3D046C09" w14:textId="77777777" w:rsidTr="00C22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7CAB79" w14:textId="77777777" w:rsidR="00C22317" w:rsidRDefault="00000000">
            <w:r>
              <w:t>AI Orchestration</w:t>
            </w:r>
          </w:p>
        </w:tc>
        <w:tc>
          <w:tcPr>
            <w:tcW w:w="312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CB23B6" w14:textId="77777777" w:rsidR="00C223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LangGraph / Gemini 2.5 / OpenAI GPT / BGE-M3</w:t>
            </w:r>
          </w:p>
        </w:tc>
        <w:tc>
          <w:tcPr>
            <w:tcW w:w="3120" w:type="dxa"/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25E665" w14:textId="77777777" w:rsidR="00C223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Enforces strict state-machine logic to control conversational </w:t>
            </w:r>
            <w:r>
              <w:lastRenderedPageBreak/>
              <w:t>context and eliminate model hallucinations.</w:t>
            </w:r>
          </w:p>
        </w:tc>
      </w:tr>
      <w:tr w:rsidR="00C22317" w14:paraId="1015784B" w14:textId="77777777" w:rsidTr="00C223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B169B6" w14:textId="77777777" w:rsidR="00C22317" w:rsidRDefault="00000000">
            <w:r>
              <w:lastRenderedPageBreak/>
              <w:t>Indic NLP / Speech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316028" w14:textId="77777777" w:rsidR="00C223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Official BHASHINI APIs / Fallback Whisper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42ADE1" w14:textId="77777777" w:rsidR="00C223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Leverages sovereign Indian linguistic infrastructure optimized for regional dialects and accents.</w:t>
            </w:r>
          </w:p>
        </w:tc>
      </w:tr>
    </w:tbl>
    <w:p w14:paraId="22B489C6" w14:textId="77777777" w:rsidR="00C22317" w:rsidRDefault="00C22317">
      <w:pPr>
        <w:spacing w:after="240"/>
      </w:pPr>
    </w:p>
    <w:p w14:paraId="03163113" w14:textId="77777777" w:rsidR="00C22317" w:rsidRDefault="00000000">
      <w:pPr>
        <w:keepNext/>
        <w:pBdr>
          <w:bottom w:val="single" w:sz="12" w:space="4" w:color="1B365D"/>
        </w:pBdr>
        <w:spacing w:before="360"/>
      </w:pPr>
      <w:r>
        <w:rPr>
          <w:b/>
          <w:color w:val="1B365D"/>
          <w:sz w:val="32"/>
        </w:rPr>
        <w:t>8. Verification Scenarios &amp; Validation Journey</w:t>
      </w:r>
    </w:p>
    <w:p w14:paraId="0565459A" w14:textId="77777777" w:rsidR="00C22317" w:rsidRDefault="00000000">
      <w:r>
        <w:t>To validate production readiness, the engineering team must use the following baseline scenario to perform continuous integration integration testing:</w:t>
      </w:r>
    </w:p>
    <w:p w14:paraId="192BD20F" w14:textId="77777777" w:rsidR="00C22317" w:rsidRDefault="00000000">
      <w:pPr>
        <w:pStyle w:val="ListBullet"/>
        <w:spacing w:after="60"/>
      </w:pPr>
      <w:r>
        <w:rPr>
          <w:b/>
        </w:rPr>
        <w:t>Phase 1: Ingestion &amp; Parsing</w:t>
      </w:r>
      <w:r>
        <w:t xml:space="preserve"> The user provides an unstructured voice recording in a regional dialect detailing crop damages. The speech recognition pipeline must auto-detect the language context, transcribe the audio, and map it to an explicit English system prompt context.</w:t>
      </w:r>
    </w:p>
    <w:p w14:paraId="41263AE5" w14:textId="77777777" w:rsidR="00C22317" w:rsidRDefault="00000000">
      <w:pPr>
        <w:pStyle w:val="ListBullet"/>
        <w:spacing w:after="60"/>
      </w:pPr>
      <w:r>
        <w:rPr>
          <w:b/>
        </w:rPr>
        <w:t>Phase 2: Graph Execution</w:t>
      </w:r>
      <w:r>
        <w:t xml:space="preserve"> The system parses the context against the Bihar state agriculture node in the knowledge graph, calculates eligibility vectors, and asks for confirmation regarding land ownership boundaries.</w:t>
      </w:r>
    </w:p>
    <w:p w14:paraId="72AE2949" w14:textId="77777777" w:rsidR="00C22317" w:rsidRDefault="00000000">
      <w:pPr>
        <w:pStyle w:val="ListBullet"/>
        <w:spacing w:after="60"/>
      </w:pPr>
      <w:r>
        <w:rPr>
          <w:b/>
        </w:rPr>
        <w:t>Phase 3: OCR Processing</w:t>
      </w:r>
      <w:r>
        <w:t xml:space="preserve"> The user uploads a compressed image of their identity document. The PaddleOCR execution module must extract profile details, verify alignment with registration parameters, and flag an expired validation error if applicable.</w:t>
      </w:r>
    </w:p>
    <w:p w14:paraId="1E72BF9F" w14:textId="77777777" w:rsidR="00C22317" w:rsidRDefault="00000000">
      <w:pPr>
        <w:pStyle w:val="ListBullet"/>
        <w:spacing w:after="60"/>
      </w:pPr>
      <w:r>
        <w:rPr>
          <w:b/>
        </w:rPr>
        <w:t>Phase 4: Action Generation</w:t>
      </w:r>
      <w:r>
        <w:t xml:space="preserve"> The platform displays a step-by-step roadmap to the nearest physical Common Service Centre (CSC) location, automatically fills out the application form fields using the verified OCR context, and sets a renewal reminder.</w:t>
      </w:r>
    </w:p>
    <w:sectPr w:rsidR="00C2231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495078">
    <w:abstractNumId w:val="8"/>
  </w:num>
  <w:num w:numId="2" w16cid:durableId="556670873">
    <w:abstractNumId w:val="6"/>
  </w:num>
  <w:num w:numId="3" w16cid:durableId="1469979863">
    <w:abstractNumId w:val="5"/>
  </w:num>
  <w:num w:numId="4" w16cid:durableId="1723019331">
    <w:abstractNumId w:val="4"/>
  </w:num>
  <w:num w:numId="5" w16cid:durableId="1631588491">
    <w:abstractNumId w:val="7"/>
  </w:num>
  <w:num w:numId="6" w16cid:durableId="1707027005">
    <w:abstractNumId w:val="3"/>
  </w:num>
  <w:num w:numId="7" w16cid:durableId="1299414939">
    <w:abstractNumId w:val="2"/>
  </w:num>
  <w:num w:numId="8" w16cid:durableId="1852527848">
    <w:abstractNumId w:val="1"/>
  </w:num>
  <w:num w:numId="9" w16cid:durableId="1124885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5AD0"/>
    <w:rsid w:val="00AA1D8D"/>
    <w:rsid w:val="00AC5801"/>
    <w:rsid w:val="00B47730"/>
    <w:rsid w:val="00C2231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5A0BE0"/>
  <w14:defaultImageDpi w14:val="300"/>
  <w15:docId w15:val="{55063984-C59F-4CDA-9AC6-92455DAD5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333333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1507</Words>
  <Characters>8593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Mohammad Arsh</cp:lastModifiedBy>
  <cp:revision>2</cp:revision>
  <dcterms:created xsi:type="dcterms:W3CDTF">2013-12-23T23:15:00Z</dcterms:created>
  <dcterms:modified xsi:type="dcterms:W3CDTF">2026-08-03T13:34:00Z</dcterms:modified>
  <cp:category/>
</cp:coreProperties>
</file>