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CitizenOS: User Interface (UI) Brief &amp; Design Guidelines</w:t>
      </w:r>
    </w:p>
    <w:p>
      <w:pPr>
        <w:pStyle w:val="MdParagraph"/>
      </w:pPr>
      <w:r>
        <w:t xml:space="preserve">This document serves as the comprehensive UI brief for the Frontend and Design teams working on the CitizenOS project. It outlines the design system, component specifications, screen layouts, and accessibility standards required to build an interface that is intuitive, multilingual, and accessible to citizens across India, particularly in rural areas.</w:t>
      </w:r>
    </w:p>
    <w:p>
      <w:pPr>
        <w:pStyle w:val="MdSpace"/>
        <w:spacing w:before="0" w:after="60"/>
      </w:pPr>
    </w:p>
    <w:p>
      <w:pPr>
        <w:pStyle w:val="Heading2"/>
        <w:pStyle w:val="MdHeading2"/>
      </w:pPr>
      <w:r>
        <w:t xml:space="preserve">1. Design System &amp; Visual Identity</w:t>
      </w:r>
    </w:p>
    <w:p>
      <w:pPr>
        <w:pStyle w:val="MdParagraph"/>
      </w:pPr>
      <w:r>
        <w:t xml:space="preserve">The CitizenOS interface must prioritize clarity, readability, and trust. The design should avoid overly complex animations or distracting elements, focusing instead on guiding the user through the scheme discovery process.</w:t>
      </w:r>
    </w:p>
    <w:p>
      <w:pPr>
        <w:pStyle w:val="MdSpace"/>
        <w:spacing w:before="0" w:after="60"/>
      </w:pPr>
    </w:p>
    <w:p>
      <w:pPr>
        <w:pStyle w:val="Heading3"/>
        <w:pStyle w:val="MdHeading3"/>
      </w:pPr>
      <w:r>
        <w:t xml:space="preserve">1.1 Color Palette</w:t>
      </w:r>
    </w:p>
    <w:p>
      <w:pPr>
        <w:pStyle w:val="MdParagraph"/>
      </w:pPr>
      <w:r>
        <w:t xml:space="preserve">The color palette is designed to be highly legible and convey a sense of official authority and reliability.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Color Role</w:t>
            </w:r>
          </w:p>
        </w:tc>
        <w:tc>
          <w:tcPr>
            <w:tcMar>
              <w:top w:type="dxa" w:w="100"/>
              <w:left w:type="dxa" w:w="120"/>
              <w:bottom w:type="dxa" w:w="100"/>
              <w:right w:type="dxa" w:w="120"/>
            </w:tcMar>
            <w:vAlign w:val="center"/>
          </w:tcPr>
          <w:p>
            <w:pPr>
              <w:pStyle w:val="MdTableHeader"/>
              <w:jc w:val="left"/>
            </w:pPr>
            <w:r>
              <w:t xml:space="preserve">Hex Code</w:t>
            </w:r>
          </w:p>
        </w:tc>
        <w:tc>
          <w:tcPr>
            <w:tcBorders>
              <w:right w:val="none"/>
            </w:tcBorders>
            <w:tcMar>
              <w:top w:type="dxa" w:w="100"/>
              <w:left w:type="dxa" w:w="120"/>
              <w:bottom w:type="dxa" w:w="100"/>
              <w:right w:type="dxa" w:w="120"/>
            </w:tcMar>
            <w:vAlign w:val="center"/>
          </w:tcPr>
          <w:p>
            <w:pPr>
              <w:pStyle w:val="MdTableHeader"/>
              <w:jc w:val="left"/>
            </w:pPr>
            <w:r>
              <w:t xml:space="preserve">Usage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Primary Text</w:t>
            </w:r>
          </w:p>
        </w:tc>
        <w:tc>
          <w:tcPr>
            <w:tcMar>
              <w:top w:type="dxa" w:w="80"/>
              <w:left w:type="dxa" w:w="120"/>
              <w:bottom w:type="dxa" w:w="80"/>
              <w:right w:type="dxa" w:w="120"/>
            </w:tcMar>
            <w:vAlign w:val="center"/>
          </w:tcPr>
          <w:p>
            <w:pPr>
              <w:pStyle w:val="MdTableCell"/>
              <w:jc w:val="left"/>
            </w:pPr>
            <w:r>
              <w:rPr>
                <w:rStyle w:val="MdCode"/>
                <w:u w:val="single"/>
              </w:rPr>
              <w:t xml:space="preserve">#0F172A</w:t>
            </w:r>
          </w:p>
        </w:tc>
        <w:tc>
          <w:tcPr>
            <w:tcBorders>
              <w:right w:val="none"/>
            </w:tcBorders>
            <w:tcMar>
              <w:top w:type="dxa" w:w="80"/>
              <w:left w:type="dxa" w:w="120"/>
              <w:bottom w:type="dxa" w:w="80"/>
              <w:right w:type="dxa" w:w="120"/>
            </w:tcMar>
            <w:vAlign w:val="center"/>
          </w:tcPr>
          <w:p>
            <w:pPr>
              <w:pStyle w:val="MdTableCell"/>
              <w:jc w:val="left"/>
            </w:pPr>
            <w:r>
              <w:t xml:space="preserve">Headings, primary content, and critical UI elements.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Secondary Text</w:t>
            </w:r>
          </w:p>
        </w:tc>
        <w:tc>
          <w:tcPr>
            <w:tcMar>
              <w:top w:type="dxa" w:w="80"/>
              <w:left w:type="dxa" w:w="120"/>
              <w:bottom w:type="dxa" w:w="80"/>
              <w:right w:type="dxa" w:w="120"/>
            </w:tcMar>
            <w:vAlign w:val="center"/>
          </w:tcPr>
          <w:p>
            <w:pPr>
              <w:pStyle w:val="MdTableCell"/>
              <w:jc w:val="left"/>
            </w:pPr>
            <w:r>
              <w:rPr>
                <w:rStyle w:val="MdCode"/>
                <w:u w:val="single"/>
              </w:rPr>
              <w:t xml:space="preserve">#334155</w:t>
            </w:r>
          </w:p>
        </w:tc>
        <w:tc>
          <w:tcPr>
            <w:tcBorders>
              <w:right w:val="none"/>
            </w:tcBorders>
            <w:tcMar>
              <w:top w:type="dxa" w:w="80"/>
              <w:left w:type="dxa" w:w="120"/>
              <w:bottom w:type="dxa" w:w="80"/>
              <w:right w:type="dxa" w:w="120"/>
            </w:tcMar>
            <w:vAlign w:val="center"/>
          </w:tcPr>
          <w:p>
            <w:pPr>
              <w:pStyle w:val="MdTableCell"/>
              <w:jc w:val="left"/>
            </w:pPr>
            <w:r>
              <w:t xml:space="preserve">Body text, descriptions, and secondary 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Accent / Success</w:t>
            </w:r>
          </w:p>
        </w:tc>
        <w:tc>
          <w:tcPr>
            <w:tcMar>
              <w:top w:type="dxa" w:w="80"/>
              <w:left w:type="dxa" w:w="120"/>
              <w:bottom w:type="dxa" w:w="80"/>
              <w:right w:type="dxa" w:w="120"/>
            </w:tcMar>
            <w:vAlign w:val="center"/>
          </w:tcPr>
          <w:p>
            <w:pPr>
              <w:pStyle w:val="MdTableCell"/>
              <w:jc w:val="left"/>
            </w:pPr>
            <w:r>
              <w:rPr>
                <w:rStyle w:val="MdCode"/>
                <w:u w:val="single"/>
              </w:rPr>
              <w:t xml:space="preserve">#059669</w:t>
            </w:r>
          </w:p>
        </w:tc>
        <w:tc>
          <w:tcPr>
            <w:tcBorders>
              <w:right w:val="none"/>
            </w:tcBorders>
            <w:tcMar>
              <w:top w:type="dxa" w:w="80"/>
              <w:left w:type="dxa" w:w="120"/>
              <w:bottom w:type="dxa" w:w="80"/>
              <w:right w:type="dxa" w:w="120"/>
            </w:tcMar>
            <w:vAlign w:val="center"/>
          </w:tcPr>
          <w:p>
            <w:pPr>
              <w:pStyle w:val="MdTableCell"/>
              <w:jc w:val="left"/>
            </w:pPr>
            <w:r>
              <w:t xml:space="preserve">Primary buttons, success states, highlights, and positive feedback.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Background</w:t>
            </w:r>
          </w:p>
        </w:tc>
        <w:tc>
          <w:tcPr>
            <w:tcMar>
              <w:top w:type="dxa" w:w="80"/>
              <w:left w:type="dxa" w:w="120"/>
              <w:bottom w:type="dxa" w:w="80"/>
              <w:right w:type="dxa" w:w="120"/>
            </w:tcMar>
            <w:vAlign w:val="center"/>
          </w:tcPr>
          <w:p>
            <w:pPr>
              <w:pStyle w:val="MdTableCell"/>
              <w:jc w:val="left"/>
            </w:pPr>
            <w:r>
              <w:rPr>
                <w:rStyle w:val="MdCode"/>
                <w:u w:val="single"/>
              </w:rPr>
              <w:t xml:space="preserve">#F8FAFC</w:t>
            </w:r>
          </w:p>
        </w:tc>
        <w:tc>
          <w:tcPr>
            <w:tcBorders>
              <w:right w:val="none"/>
            </w:tcBorders>
            <w:tcMar>
              <w:top w:type="dxa" w:w="80"/>
              <w:left w:type="dxa" w:w="120"/>
              <w:bottom w:type="dxa" w:w="80"/>
              <w:right w:type="dxa" w:w="120"/>
            </w:tcMar>
            <w:vAlign w:val="center"/>
          </w:tcPr>
          <w:p>
            <w:pPr>
              <w:pStyle w:val="MdTableCell"/>
              <w:jc w:val="left"/>
            </w:pPr>
            <w:r>
              <w:t xml:space="preserve">Main application background to reduce eye strain.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Surface / Card</w:t>
            </w:r>
          </w:p>
        </w:tc>
        <w:tc>
          <w:tcPr>
            <w:tcMar>
              <w:top w:type="dxa" w:w="80"/>
              <w:left w:type="dxa" w:w="120"/>
              <w:bottom w:type="dxa" w:w="80"/>
              <w:right w:type="dxa" w:w="120"/>
            </w:tcMar>
            <w:vAlign w:val="center"/>
          </w:tcPr>
          <w:p>
            <w:pPr>
              <w:pStyle w:val="MdTableCell"/>
              <w:jc w:val="left"/>
            </w:pPr>
            <w:r>
              <w:rPr>
                <w:rStyle w:val="MdCode"/>
                <w:u w:val="single"/>
              </w:rPr>
              <w:t xml:space="preserve">#FFFFFF</w:t>
            </w:r>
          </w:p>
        </w:tc>
        <w:tc>
          <w:tcPr>
            <w:tcBorders>
              <w:right w:val="none"/>
            </w:tcBorders>
            <w:tcMar>
              <w:top w:type="dxa" w:w="80"/>
              <w:left w:type="dxa" w:w="120"/>
              <w:bottom w:type="dxa" w:w="80"/>
              <w:right w:type="dxa" w:w="120"/>
            </w:tcMar>
            <w:vAlign w:val="center"/>
          </w:tcPr>
          <w:p>
            <w:pPr>
              <w:pStyle w:val="MdTableCell"/>
              <w:jc w:val="left"/>
            </w:pPr>
            <w:r>
              <w:t xml:space="preserve">Containers, forms, and elevated UI elements.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Error / Warning</w:t>
            </w:r>
          </w:p>
        </w:tc>
        <w:tc>
          <w:tcPr>
            <w:tcMar>
              <w:top w:type="dxa" w:w="80"/>
              <w:left w:type="dxa" w:w="120"/>
              <w:bottom w:type="dxa" w:w="80"/>
              <w:right w:type="dxa" w:w="120"/>
            </w:tcMar>
            <w:vAlign w:val="center"/>
          </w:tcPr>
          <w:p>
            <w:pPr>
              <w:pStyle w:val="MdTableCell"/>
              <w:jc w:val="left"/>
            </w:pPr>
            <w:r>
              <w:rPr>
                <w:rStyle w:val="MdCode"/>
                <w:u w:val="single"/>
              </w:rPr>
              <w:t xml:space="preserve">#EF4444</w:t>
            </w:r>
          </w:p>
        </w:tc>
        <w:tc>
          <w:tcPr>
            <w:tcBorders>
              <w:right w:val="none"/>
            </w:tcBorders>
            <w:tcMar>
              <w:top w:type="dxa" w:w="80"/>
              <w:left w:type="dxa" w:w="120"/>
              <w:bottom w:type="dxa" w:w="80"/>
              <w:right w:type="dxa" w:w="120"/>
            </w:tcMar>
            <w:vAlign w:val="center"/>
          </w:tcPr>
          <w:p>
            <w:pPr>
              <w:pStyle w:val="MdTableCell"/>
              <w:jc w:val="left"/>
            </w:pPr>
            <w:r>
              <w:t xml:space="preserve">Error messages, scam warnings, and missing document alerts.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Border / Divider</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#E2E8F0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Subtle separators between sections and form fields.</w:t>
            </w:r>
          </w:p>
        </w:tc>
      </w:tr>
    </w:tbl>
    <w:p>
      <w:pPr>
        <w:pStyle w:val="Heading3"/>
        <w:pStyle w:val="MdHeading3"/>
      </w:pPr>
      <w:r>
        <w:t xml:space="preserve">1.2 Typography</w:t>
      </w:r>
    </w:p>
    <w:p>
      <w:pPr>
        <w:pStyle w:val="MdParagraph"/>
      </w:pPr>
      <w:r>
        <w:t xml:space="preserve">Typography must be clean, modern, and support multiple scripts seamlessly, as the application will display text in Hindi, Tamil, Bengali, and other regional languages alongside English.</w:t>
      </w:r>
    </w:p>
    <w:p>
      <w:pPr>
        <w:pStyle w:val="MdSpace"/>
        <w:spacing w:before="0" w:after="60"/>
      </w:pPr>
    </w:p>
    <w:p>
      <w:pPr>
        <w:pStyle w:val="MdListItem"/>
        <w:numPr>
          <w:ilvl w:val="0"/>
          <w:numId w:val="2"/>
        </w:numPr>
      </w:pPr>
      <w:r>
        <w:rPr>
          <w:rStyle w:val="MdStrong"/>
          <w:b/>
          <w:bCs/>
        </w:rPr>
        <w:t xml:space="preserve">Primary Font:</w:t>
      </w:r>
      <w:r>
        <w:t xml:space="preserve"> 'Helvetica Neue', Helvetica, Arial, sans-serif (for body text and UI elements).</w:t>
      </w:r>
    </w:p>
    <w:p>
      <w:pPr>
        <w:pStyle w:val="MdListItem"/>
        <w:numPr>
          <w:ilvl w:val="0"/>
          <w:numId w:val="2"/>
        </w:numPr>
      </w:pPr>
      <w:r>
        <w:rPr>
          <w:rStyle w:val="MdStrong"/>
          <w:b/>
          <w:bCs/>
        </w:rPr>
        <w:t xml:space="preserve">Secondary Font:</w:t>
      </w:r>
      <w:r>
        <w:t xml:space="preserve"> 'Courier New', Courier, monospace (used sparingly for system labels, error codes, and structural tags).</w:t>
      </w:r>
    </w:p>
    <w:p>
      <w:pPr>
        <w:pStyle w:val="MdListItem"/>
        <w:numPr>
          <w:ilvl w:val="0"/>
          <w:numId w:val="2"/>
        </w:numPr>
      </w:pPr>
      <w:r>
        <w:rPr>
          <w:rStyle w:val="MdStrong"/>
          <w:b/>
          <w:bCs/>
        </w:rPr>
        <w:t xml:space="preserve">Font Weights:</w:t>
      </w:r>
      <w:r>
        <w:t xml:space="preserve"> Use 300 (Light) for body text to ensure readability on mobile screens, and 600 (Semi-Bold) for headings and critical data points.</w:t>
      </w:r>
    </w:p>
    <w:p>
      <w:pPr>
        <w:pStyle w:val="MdSpace"/>
        <w:spacing w:before="0" w:after="60"/>
      </w:pPr>
    </w:p>
    <w:p>
      <w:pPr>
        <w:pStyle w:val="Heading3"/>
        <w:pStyle w:val="MdHeading3"/>
      </w:pPr>
      <w:r>
        <w:t xml:space="preserve">1.3 Iconography &amp; Spacing</w:t>
      </w:r>
    </w:p>
    <w:p>
      <w:pPr>
        <w:pStyle w:val="MdListItem"/>
        <w:numPr>
          <w:ilvl w:val="0"/>
          <w:numId w:val="2"/>
        </w:numPr>
      </w:pPr>
      <w:r>
        <w:rPr>
          <w:rStyle w:val="MdStrong"/>
          <w:b/>
          <w:bCs/>
        </w:rPr>
        <w:t xml:space="preserve">Icons:</w:t>
      </w:r>
      <w:r>
        <w:t xml:space="preserve"> Use standard, universally recognized icons (e.g., via Font Awesome or similar libraries) to support text and aid users with lower literacy levels.</w:t>
      </w:r>
    </w:p>
    <w:p>
      <w:pPr>
        <w:pStyle w:val="MdListItem"/>
        <w:numPr>
          <w:ilvl w:val="0"/>
          <w:numId w:val="2"/>
        </w:numPr>
      </w:pPr>
      <w:r>
        <w:rPr>
          <w:rStyle w:val="MdStrong"/>
          <w:b/>
          <w:bCs/>
        </w:rPr>
        <w:t xml:space="preserve">Spacing:</w:t>
      </w:r>
      <w:r>
        <w:t xml:space="preserve"> Maintain generous padding (minimum 20px) around content areas to prevent clutter. Use an 8px grid system for consistent margins and padding.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Screen Layouts &amp; User Flows</w:t>
      </w:r>
    </w:p>
    <w:p>
      <w:pPr>
        <w:pStyle w:val="MdParagraph"/>
      </w:pPr>
      <w:r>
        <w:t xml:space="preserve">The user interface is structured around a conversational and guided experience, minimizing the need for users to navigate complex menus.</w:t>
      </w:r>
    </w:p>
    <w:p>
      <w:pPr>
        <w:pStyle w:val="MdSpace"/>
        <w:spacing w:before="0" w:after="60"/>
      </w:pPr>
    </w:p>
    <w:p>
      <w:pPr>
        <w:pStyle w:val="Heading3"/>
        <w:pStyle w:val="MdHeading3"/>
      </w:pPr>
      <w:r>
        <w:t xml:space="preserve">2.1 The Conversational Hub (Main Interface)</w:t>
      </w:r>
    </w:p>
    <w:p>
      <w:pPr>
        <w:pStyle w:val="MdParagraph"/>
      </w:pPr>
      <w:r>
        <w:t xml:space="preserve">The primary screen is not a traditional dashboard, but a conversational hub where the user interacts with the AI assistant.</w:t>
      </w:r>
    </w:p>
    <w:p>
      <w:pPr>
        <w:pStyle w:val="MdSpace"/>
        <w:spacing w:before="0" w:after="60"/>
      </w:pPr>
    </w:p>
    <w:p>
      <w:pPr>
        <w:pStyle w:val="MdListItem"/>
        <w:numPr>
          <w:ilvl w:val="0"/>
          <w:numId w:val="2"/>
        </w:numPr>
      </w:pPr>
      <w:r>
        <w:rPr>
          <w:rStyle w:val="MdStrong"/>
          <w:b/>
          <w:bCs/>
        </w:rPr>
        <w:t xml:space="preserve">Header:</w:t>
      </w:r>
      <w:r>
        <w:t xml:space="preserve"> Contains the CitizenOS logo, a language toggle dropdown (defaulting to the detected system language), and a profile/settings icon.</w:t>
      </w:r>
    </w:p>
    <w:p>
      <w:pPr>
        <w:pStyle w:val="MdListItem"/>
        <w:numPr>
          <w:ilvl w:val="0"/>
          <w:numId w:val="2"/>
        </w:numPr>
      </w:pPr>
      <w:r>
        <w:rPr>
          <w:rStyle w:val="MdStrong"/>
          <w:b/>
          <w:bCs/>
        </w:rPr>
        <w:t xml:space="preserve">Chat Area:</w:t>
      </w:r>
      <w:r>
        <w:t xml:space="preserve"> A scrollable, central area displaying the conversation history. AI responses are left-aligned, while user inputs (text or voice indicators) are right-aligned.</w:t>
      </w:r>
    </w:p>
    <w:p>
      <w:pPr>
        <w:pStyle w:val="MdListItem"/>
        <w:numPr>
          <w:ilvl w:val="0"/>
          <w:numId w:val="2"/>
        </w:numPr>
      </w:pPr>
      <w:r>
        <w:rPr>
          <w:rStyle w:val="MdStrong"/>
          <w:b/>
          <w:bCs/>
        </w:rPr>
        <w:t xml:space="preserve">Input Mechanism:</w:t>
      </w:r>
      <w:r>
        <w:t xml:space="preserve"> A large, accessible input bar at the bottom. It must feature two primary actions: a prominent microphone icon for voice input (BHASHINI ASR) and a standard text input field for typing.</w:t>
      </w:r>
    </w:p>
    <w:p>
      <w:pPr>
        <w:pStyle w:val="MdListItem"/>
        <w:numPr>
          <w:ilvl w:val="0"/>
          <w:numId w:val="2"/>
        </w:numPr>
      </w:pPr>
      <w:r>
        <w:rPr>
          <w:rStyle w:val="MdStrong"/>
          <w:b/>
          <w:bCs/>
        </w:rPr>
        <w:t xml:space="preserve">Context Panel (Optional, Desktop):</w:t>
      </w:r>
      <w:r>
        <w:t xml:space="preserve"> On larger screens, a collapsible side panel can display the user's profile details and the current schemes being evaluated, providing context without interrupting the chat flow.</w:t>
      </w:r>
    </w:p>
    <w:p>
      <w:pPr>
        <w:pStyle w:val="MdSpace"/>
        <w:spacing w:before="0" w:after="60"/>
      </w:pPr>
    </w:p>
    <w:p>
      <w:pPr>
        <w:pStyle w:val="Heading3"/>
        <w:pStyle w:val="MdHeading3"/>
      </w:pPr>
      <w:r>
        <w:t xml:space="preserve">2.2 Interactive Eligibility Form</w:t>
      </w:r>
    </w:p>
    <w:p>
      <w:pPr>
        <w:pStyle w:val="MdParagraph"/>
      </w:pPr>
      <w:r>
        <w:t xml:space="preserve">While the conversational hub is primary, the system must also support a structured form approach for users who prefer it.</w:t>
      </w:r>
    </w:p>
    <w:p>
      <w:pPr>
        <w:pStyle w:val="MdSpace"/>
        <w:spacing w:before="0" w:after="60"/>
      </w:pPr>
    </w:p>
    <w:p>
      <w:pPr>
        <w:pStyle w:val="MdListItem"/>
        <w:numPr>
          <w:ilvl w:val="0"/>
          <w:numId w:val="2"/>
        </w:numPr>
      </w:pPr>
      <w:r>
        <w:rPr>
          <w:rStyle w:val="MdStrong"/>
          <w:b/>
          <w:bCs/>
        </w:rPr>
        <w:t xml:space="preserve">Progress Indicator:</w:t>
      </w:r>
      <w:r>
        <w:t xml:space="preserve"> A clear, step-by-step progress bar at the top showing how many questions remain.</w:t>
      </w:r>
    </w:p>
    <w:p>
      <w:pPr>
        <w:pStyle w:val="MdListItem"/>
        <w:numPr>
          <w:ilvl w:val="0"/>
          <w:numId w:val="2"/>
        </w:numPr>
      </w:pPr>
      <w:r>
        <w:rPr>
          <w:rStyle w:val="MdStrong"/>
          <w:b/>
          <w:bCs/>
        </w:rPr>
        <w:t xml:space="preserve">Input Fields:</w:t>
      </w:r>
      <w:r>
        <w:t xml:space="preserve"> Large, single-column form fields. Use numeric keyboards automatically for fields like "Age" or "Income."</w:t>
      </w:r>
    </w:p>
    <w:p>
      <w:pPr>
        <w:pStyle w:val="MdListItem"/>
        <w:numPr>
          <w:ilvl w:val="0"/>
          <w:numId w:val="2"/>
        </w:numPr>
      </w:pPr>
      <w:r>
        <w:rPr>
          <w:rStyle w:val="MdStrong"/>
          <w:b/>
          <w:bCs/>
        </w:rPr>
        <w:t xml:space="preserve">Real-Time Feedback:</w:t>
      </w:r>
      <w:r>
        <w:t xml:space="preserve"> As users input data, the UI should display subtle visual cues (e.g., a green checkmark or a small progress meter) indicating that the AI is scoring their eligibility in real-time.</w:t>
      </w:r>
    </w:p>
    <w:p>
      <w:pPr>
        <w:pStyle w:val="MdSpace"/>
        <w:spacing w:before="0" w:after="60"/>
      </w:pPr>
    </w:p>
    <w:p>
      <w:pPr>
        <w:pStyle w:val="Heading3"/>
        <w:pStyle w:val="MdHeading3"/>
      </w:pPr>
      <w:r>
        <w:t xml:space="preserve">2.3 Document Intelligence Interface</w:t>
      </w:r>
    </w:p>
    <w:p>
      <w:pPr>
        <w:pStyle w:val="MdParagraph"/>
      </w:pPr>
      <w:r>
        <w:t xml:space="preserve">This screen is dedicated to uploading and verifying identification and financial documents.</w:t>
      </w:r>
    </w:p>
    <w:p>
      <w:pPr>
        <w:pStyle w:val="MdSpace"/>
        <w:spacing w:before="0" w:after="60"/>
      </w:pPr>
    </w:p>
    <w:p>
      <w:pPr>
        <w:pStyle w:val="MdListItem"/>
        <w:numPr>
          <w:ilvl w:val="0"/>
          <w:numId w:val="2"/>
        </w:numPr>
      </w:pPr>
      <w:r>
        <w:rPr>
          <w:rStyle w:val="MdStrong"/>
          <w:b/>
          <w:bCs/>
        </w:rPr>
        <w:t xml:space="preserve">Upload Dropzone:</w:t>
      </w:r>
      <w:r>
        <w:t xml:space="preserve"> A large, clearly marked area with a drag-and-drop interface, alongside a "Browse Files" button.</w:t>
      </w:r>
    </w:p>
    <w:p>
      <w:pPr>
        <w:pStyle w:val="MdListItem"/>
        <w:numPr>
          <w:ilvl w:val="0"/>
          <w:numId w:val="2"/>
        </w:numPr>
      </w:pPr>
      <w:r>
        <w:rPr>
          <w:rStyle w:val="MdStrong"/>
          <w:b/>
          <w:bCs/>
        </w:rPr>
        <w:t xml:space="preserve">Status Cards:</w:t>
      </w:r>
      <w:r>
        <w:t xml:space="preserve"> Once uploaded, documents should appear in a list format with clear status indicators:</w:t>
      </w:r>
    </w:p>
    <w:p>
      <w:pPr>
        <w:pStyle w:val="MdListItem"/>
        <w:numPr>
          <w:ilvl w:val="1"/>
          <w:numId w:val="2"/>
        </w:numPr>
      </w:pPr>
      <w:r>
        <w:rPr>
          <w:rStyle w:val="MdStrong"/>
          <w:b/>
          <w:bCs/>
        </w:rPr>
        <w:t xml:space="preserve">Processing:</w:t>
      </w:r>
      <w:r>
        <w:t xml:space="preserve"> Animated spinner.</w:t>
      </w:r>
    </w:p>
    <w:p>
      <w:pPr>
        <w:pStyle w:val="MdListItem"/>
        <w:numPr>
          <w:ilvl w:val="1"/>
          <w:numId w:val="2"/>
        </w:numPr>
      </w:pPr>
      <w:r>
        <w:rPr>
          <w:rStyle w:val="MdStrong"/>
          <w:b/>
          <w:bCs/>
        </w:rPr>
        <w:t xml:space="preserve">Verified:</w:t>
      </w:r>
      <w:r>
        <w:t xml:space="preserve"> Green checkmark with extracted key data displayed (e.g., "Aadhaar No: XXXX").</w:t>
      </w:r>
    </w:p>
    <w:p>
      <w:pPr>
        <w:pStyle w:val="MdListItem"/>
        <w:numPr>
          <w:ilvl w:val="1"/>
          <w:numId w:val="2"/>
        </w:numPr>
      </w:pPr>
      <w:r>
        <w:rPr>
          <w:rStyle w:val="MdStrong"/>
          <w:b/>
          <w:bCs/>
        </w:rPr>
        <w:t xml:space="preserve">Action Required:</w:t>
      </w:r>
      <w:r>
        <w:t xml:space="preserve"> Red warning icon with a specific message (e.g., "Income Certificate is expired. Please upload a recent one.").</w:t>
      </w:r>
    </w:p>
    <w:p>
      <w:pPr>
        <w:pStyle w:val="MdListItem"/>
        <w:numPr>
          <w:ilvl w:val="0"/>
          <w:numId w:val="2"/>
        </w:numPr>
      </w:pPr>
      <w:r>
        <w:rPr>
          <w:rStyle w:val="MdStrong"/>
          <w:b/>
          <w:bCs/>
        </w:rPr>
        <w:t xml:space="preserve">Camera Capture:</w:t>
      </w:r>
      <w:r>
        <w:t xml:space="preserve"> A dedicated button to open the device camera for direct photo capture of physical documents.</w:t>
      </w:r>
    </w:p>
    <w:p>
      <w:pPr>
        <w:pStyle w:val="MdSpace"/>
        <w:spacing w:before="0" w:after="60"/>
      </w:pPr>
    </w:p>
    <w:p>
      <w:pPr>
        <w:pStyle w:val="Heading3"/>
        <w:pStyle w:val="MdHeading3"/>
      </w:pPr>
      <w:r>
        <w:t xml:space="preserve">2.4 Roadmap &amp; Scheme Details View</w:t>
      </w:r>
    </w:p>
    <w:p>
      <w:pPr>
        <w:pStyle w:val="MdParagraph"/>
      </w:pPr>
      <w:r>
        <w:t xml:space="preserve">When a citizen identifies a relevant scheme, this screen provides the execution plan.</w:t>
      </w:r>
    </w:p>
    <w:p>
      <w:pPr>
        <w:pStyle w:val="MdSpace"/>
        <w:spacing w:before="0" w:after="60"/>
      </w:pPr>
    </w:p>
    <w:p>
      <w:pPr>
        <w:pStyle w:val="MdListItem"/>
        <w:numPr>
          <w:ilvl w:val="0"/>
          <w:numId w:val="2"/>
        </w:numPr>
      </w:pPr>
      <w:r>
        <w:rPr>
          <w:rStyle w:val="MdStrong"/>
          <w:b/>
          <w:bCs/>
        </w:rPr>
        <w:t xml:space="preserve">Scheme Header:</w:t>
      </w:r>
      <w:r>
        <w:t xml:space="preserve"> The official name of the scheme, the providing department, and a large, bold "Match Score" (e.g., 95% Eligible).</w:t>
      </w:r>
    </w:p>
    <w:p>
      <w:pPr>
        <w:pStyle w:val="MdListItem"/>
        <w:numPr>
          <w:ilvl w:val="0"/>
          <w:numId w:val="2"/>
        </w:numPr>
      </w:pPr>
      <w:r>
        <w:rPr>
          <w:rStyle w:val="MdStrong"/>
          <w:b/>
          <w:bCs/>
        </w:rPr>
        <w:t xml:space="preserve">Step-by-Step Timeline:</w:t>
      </w:r>
      <w:r>
        <w:t xml:space="preserve"> A vertical timeline layout showing the exact steps required to apply. Each step should include an icon, a clear title, and a detailed description.</w:t>
      </w:r>
    </w:p>
    <w:p>
      <w:pPr>
        <w:pStyle w:val="MdListItem"/>
        <w:numPr>
          <w:ilvl w:val="0"/>
          <w:numId w:val="2"/>
        </w:numPr>
      </w:pPr>
      <w:r>
        <w:rPr>
          <w:rStyle w:val="MdStrong"/>
          <w:b/>
          <w:bCs/>
        </w:rPr>
        <w:t xml:space="preserve">Action Buttons:</w:t>
      </w:r>
      <w:r>
        <w:t xml:space="preserve"> Primary buttons at each step, such as "Find Nearest CSC" (integrating with maps) or "Open Application Link" (verified by the Scam Detector).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Channel-Specific UI Guidelines</w:t>
      </w:r>
    </w:p>
    <w:p>
      <w:pPr>
        <w:pStyle w:val="MdParagraph"/>
      </w:pPr>
      <w:r>
        <w:t xml:space="preserve">CitizenOS extends beyond the web app into WhatsApp and IVR. The UI brief must account for these varied environments.</w:t>
      </w:r>
    </w:p>
    <w:p>
      <w:pPr>
        <w:pStyle w:val="MdSpace"/>
        <w:spacing w:before="0" w:after="60"/>
      </w:pPr>
    </w:p>
    <w:p>
      <w:pPr>
        <w:pStyle w:val="Heading3"/>
        <w:pStyle w:val="MdHeading3"/>
      </w:pPr>
      <w:r>
        <w:t xml:space="preserve">3.1 WhatsApp Bot Interface</w:t>
      </w:r>
    </w:p>
    <w:p>
      <w:pPr>
        <w:pStyle w:val="MdListItem"/>
        <w:numPr>
          <w:ilvl w:val="0"/>
          <w:numId w:val="2"/>
        </w:numPr>
      </w:pPr>
      <w:r>
        <w:rPr>
          <w:rStyle w:val="MdStrong"/>
          <w:b/>
          <w:bCs/>
        </w:rPr>
        <w:t xml:space="preserve">Message Formatting:</w:t>
      </w:r>
      <w:r>
        <w:t xml:space="preserve"> Use WhatsApp's native formatting (bolding, italics) to structure AI responses.</w:t>
      </w:r>
    </w:p>
    <w:p>
      <w:pPr>
        <w:pStyle w:val="MdListItem"/>
        <w:numPr>
          <w:ilvl w:val="0"/>
          <w:numId w:val="2"/>
        </w:numPr>
      </w:pPr>
      <w:r>
        <w:rPr>
          <w:rStyle w:val="MdStrong"/>
          <w:b/>
          <w:bCs/>
        </w:rPr>
        <w:t xml:space="preserve">List Messages:</w:t>
      </w:r>
      <w:r>
        <w:t xml:space="preserve"> When presenting a list of schemes, use WhatsApp's List Message format to allow users to select one with a single tap, rather than typing numbers.</w:t>
      </w:r>
    </w:p>
    <w:p>
      <w:pPr>
        <w:pStyle w:val="MdListItem"/>
        <w:numPr>
          <w:ilvl w:val="0"/>
          <w:numId w:val="2"/>
        </w:numPr>
      </w:pPr>
      <w:r>
        <w:rPr>
          <w:rStyle w:val="MdStrong"/>
          <w:b/>
          <w:bCs/>
        </w:rPr>
        <w:t xml:space="preserve">Media Handling:</w:t>
      </w:r>
      <w:r>
        <w:t xml:space="preserve"> Clearly instruct users to upload documents as images or PDFs. The bot must respond with automated receipt confirmations.</w:t>
      </w:r>
    </w:p>
    <w:p>
      <w:pPr>
        <w:pStyle w:val="MdSpace"/>
        <w:spacing w:before="0" w:after="60"/>
      </w:pPr>
    </w:p>
    <w:p>
      <w:pPr>
        <w:pStyle w:val="Heading3"/>
        <w:pStyle w:val="MdHeading3"/>
      </w:pPr>
      <w:r>
        <w:t xml:space="preserve">3.2 IVR (Interactive Voice Response) Interface</w:t>
      </w:r>
    </w:p>
    <w:p>
      <w:pPr>
        <w:pStyle w:val="MdListItem"/>
        <w:numPr>
          <w:ilvl w:val="0"/>
          <w:numId w:val="2"/>
        </w:numPr>
      </w:pPr>
      <w:r>
        <w:rPr>
          <w:rStyle w:val="MdStrong"/>
          <w:b/>
          <w:bCs/>
        </w:rPr>
        <w:t xml:space="preserve">Voice Prompt Scripts:</w:t>
      </w:r>
      <w:r>
        <w:t xml:space="preserve"> The UI team must design the "interface" for the phone. This means writing clear, concise audio scripts.</w:t>
      </w:r>
    </w:p>
    <w:p>
      <w:pPr>
        <w:pStyle w:val="MdListItem"/>
        <w:numPr>
          <w:ilvl w:val="0"/>
          <w:numId w:val="2"/>
        </w:numPr>
      </w:pPr>
      <w:r>
        <w:rPr>
          <w:rStyle w:val="MdStrong"/>
          <w:b/>
          <w:bCs/>
        </w:rPr>
        <w:t xml:space="preserve">Menu Structure:</w:t>
      </w:r>
      <w:r>
        <w:t xml:space="preserve"> Keep IVR menus shallow (maximum two levels deep). For example: "Press 1 to check eligibility, Press 2 to check application status, Press 0 to speak with support."</w:t>
      </w:r>
    </w:p>
    <w:p>
      <w:pPr>
        <w:pStyle w:val="MdListItem"/>
        <w:numPr>
          <w:ilvl w:val="0"/>
          <w:numId w:val="2"/>
        </w:numPr>
      </w:pPr>
      <w:r>
        <w:rPr>
          <w:rStyle w:val="MdStrong"/>
          <w:b/>
          <w:bCs/>
        </w:rPr>
        <w:t xml:space="preserve">Pacing:</w:t>
      </w:r>
      <w:r>
        <w:t xml:space="preserve"> Account for the fact that rural users may be unfamiliar with IVR systems. Prompts must speak slowly, with a pause between options.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Accessibility &amp; Rural Optimization (Crucial)</w:t>
      </w:r>
    </w:p>
    <w:p>
      <w:pPr>
        <w:pStyle w:val="MdParagraph"/>
      </w:pPr>
      <w:r>
        <w:t xml:space="preserve">Given the target demographic, accessibility is not an afterthought; it is a core requirement.</w:t>
      </w:r>
    </w:p>
    <w:p>
      <w:pPr>
        <w:pStyle w:val="MdSpace"/>
        <w:spacing w:before="0" w:after="60"/>
      </w:pPr>
    </w:p>
    <w:p>
      <w:pPr>
        <w:pStyle w:val="Heading3"/>
        <w:pStyle w:val="MdHeading3"/>
      </w:pPr>
      <w:r>
        <w:t xml:space="preserve">4.1 Digital Literacy Considerations</w:t>
      </w:r>
    </w:p>
    <w:p>
      <w:pPr>
        <w:pStyle w:val="MdListItem"/>
        <w:numPr>
          <w:ilvl w:val="0"/>
          <w:numId w:val="2"/>
        </w:numPr>
      </w:pPr>
      <w:r>
        <w:rPr>
          <w:rStyle w:val="MdStrong"/>
          <w:b/>
          <w:bCs/>
        </w:rPr>
        <w:t xml:space="preserve">Minimize Typing:</w:t>
      </w:r>
      <w:r>
        <w:t xml:space="preserve"> Rely heavily on voice input and pre-filled data. If a user must type, provide predictive text or autocomplete suggestions.</w:t>
      </w:r>
    </w:p>
    <w:p>
      <w:pPr>
        <w:pStyle w:val="MdListItem"/>
        <w:numPr>
          <w:ilvl w:val="0"/>
          <w:numId w:val="2"/>
        </w:numPr>
      </w:pPr>
      <w:r>
        <w:rPr>
          <w:rStyle w:val="MdStrong"/>
          <w:b/>
          <w:bCs/>
        </w:rPr>
        <w:t xml:space="preserve">Visual Cues:</w:t>
      </w:r>
      <w:r>
        <w:t xml:space="preserve"> Pair every critical instruction with an icon. For example, a "Microphone" icon must always accompany the "Speak" text.</w:t>
      </w:r>
    </w:p>
    <w:p>
      <w:pPr>
        <w:pStyle w:val="MdListItem"/>
        <w:numPr>
          <w:ilvl w:val="0"/>
          <w:numId w:val="2"/>
        </w:numPr>
      </w:pPr>
      <w:r>
        <w:rPr>
          <w:rStyle w:val="MdStrong"/>
          <w:b/>
          <w:bCs/>
        </w:rPr>
        <w:t xml:space="preserve">Simple Language (ELI10):</w:t>
      </w:r>
      <w:r>
        <w:t xml:space="preserve"> The backend provides simplified text, but the UI must support it by using large font sizes and ample line spacing.</w:t>
      </w:r>
    </w:p>
    <w:p>
      <w:pPr>
        <w:pStyle w:val="MdSpace"/>
        <w:spacing w:before="0" w:after="60"/>
      </w:pPr>
    </w:p>
    <w:p>
      <w:pPr>
        <w:pStyle w:val="Heading3"/>
        <w:pStyle w:val="MdHeading3"/>
      </w:pPr>
      <w:r>
        <w:t xml:space="preserve">4.2 Technical Accessibility (Offline Mode)</w:t>
      </w:r>
    </w:p>
    <w:p>
      <w:pPr>
        <w:pStyle w:val="MdListItem"/>
        <w:numPr>
          <w:ilvl w:val="0"/>
          <w:numId w:val="2"/>
        </w:numPr>
      </w:pPr>
      <w:r>
        <w:rPr>
          <w:rStyle w:val="MdStrong"/>
          <w:b/>
          <w:bCs/>
        </w:rPr>
        <w:t xml:space="preserve">Service Workers:</w:t>
      </w:r>
      <w:r>
        <w:t xml:space="preserve"> The UI must gracefully handle network drops. If the connection is lost, the UI should switch to a muted "Offline" state, allowing users to read cached schemes while queuing new requests.</w:t>
      </w:r>
    </w:p>
    <w:p>
      <w:pPr>
        <w:pStyle w:val="MdListItem"/>
        <w:numPr>
          <w:ilvl w:val="0"/>
          <w:numId w:val="2"/>
        </w:numPr>
      </w:pPr>
      <w:r>
        <w:rPr>
          <w:rStyle w:val="MdStrong"/>
          <w:b/>
          <w:bCs/>
        </w:rPr>
        <w:t xml:space="preserve">Low Bandwidth:</w:t>
      </w:r>
      <w:r>
        <w:t xml:space="preserve"> Avoid heavy images or unnecessary animations. The interface should load instantly even on 2G networks.</w:t>
      </w:r>
    </w:p>
    <w:p>
      <w:pPr>
        <w:pStyle w:val="MdSpace"/>
        <w:spacing w:before="0" w:after="60"/>
      </w:pPr>
    </w:p>
    <w:p>
      <w:pPr>
        <w:pStyle w:val="Heading3"/>
        <w:pStyle w:val="MdHeading3"/>
      </w:pPr>
      <w:r>
        <w:t xml:space="preserve">4.3 WCAG Compliance</w:t>
      </w:r>
    </w:p>
    <w:p>
      <w:pPr>
        <w:pStyle w:val="MdParagraph"/>
      </w:pPr>
      <w:r>
        <w:t xml:space="preserve">The design must aim for WCAG 2.1 AA compliance. This includes maintaining a high contrast ratio (minimum 4.5:1 for normal text), ensuring all interactive elements are reachable via keyboard navigation, and providing screen reader-friendly ARIA labels for dynamic chat content.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2026-08-03T14:20:56.133Z</dcterms:created>
  <dcterms:modified xsi:type="dcterms:W3CDTF">2026-08-03T14:20:56.133Z</dcterms:modified>
</cp:coreProperties>
</file>

<file path=docProps/custom.xml><?xml version="1.0" encoding="utf-8"?>
<Properties xmlns="http://schemas.openxmlformats.org/officeDocument/2006/custom-properties" xmlns:vt="http://schemas.openxmlformats.org/officeDocument/2006/docPropsVTypes"/>
</file>