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2019/4/11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Gradient-Based Learning Applied to Document Recognition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主要方程:Y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,W),Z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代表第p个输入量,W代表系统中可调参数的集合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损失函数:E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=f(D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Gradient-Based Learning: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k-1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ε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δ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E(W)/δW 对可调参数W</w:t>
      </w:r>
      <w:r>
        <w:rPr>
          <w:rFonts w:hint="default" w:ascii="宋体" w:hAnsi="宋体" w:eastAsia="宋体" w:cs="宋体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偏导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Stochastic gradient algorithm(on-line update)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比传统gradient descent快很多,但会上下抖动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同一个feature map中的所有元素公用同一套(W,b),目的是为了在图片的各个位置都能检测到同一种特征.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Sub-sampling (reducing the spatial resolution)也就是池化是为了减少输出受到倾斜和扭曲的影响.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  <w:t>Scalable Object Detection using Deep Neural Networks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A different line of work, closer to ours, is based on the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idea that objects can be localized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without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having to know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their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Alexnet ZFNet VGG最后的4096-&gt;1000是因为ILSVRC有1000种分类.也就是后面的全连接层才是完成最终分类,前面的卷积层负责提取信息.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2019/4/12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将AlexNet最后一层改成2，成功训练了一个二分类demo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Class 1000 分类太慢了 等以后再尝试吧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An overview of gradient descent optimization algorithms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"/>
        </w:rPr>
        <w:t>Batch gradient descent:</w:t>
      </w:r>
      <w:r>
        <w:rPr>
          <w:rFonts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∇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)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 xml:space="preserve">是学习率 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优点：准确（采用整个训练集的数据计算cost function对参数的梯度）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缺点：非常慢，不能投入新数据实时更新模型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  <w:t>Stochastic gradient descent: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</w:pP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2019/4/13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为什么要用rnn?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Feedforward neural nets have limitations. Most notably, they rely on the assumption of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independence among the data points.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（A Critical Review of Recurrent Neural Networks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for Sequence Learning）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In the word sequence 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“John C</w:t>
      </w:r>
      <w:r>
        <w:rPr>
          <w:rFonts w:hint="default" w:ascii="Manjari" w:hAnsi="Manjari" w:cs="Manjari"/>
          <w:sz w:val="24"/>
          <w:szCs w:val="24"/>
          <w:lang w:val="en"/>
        </w:rPr>
        <w:t>oltrane plays the saxophone”, x (1) = John, x (2) = Coltrane, etc.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Associated with each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neuron j is an activation function l j , which is sometimes called a link function.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use the notation “l j ” and not “h j ” (unlike some other papers) to distinguish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the activation function l j from the values of the hidden nodes in a network, which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is commonly notated h in the RNN literature.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we index neurons with j and j 0 , and by w jj 0 , we denote the weight</w:t>
      </w:r>
    </w:p>
    <w:p>
      <w:pPr>
        <w:rPr>
          <w:rFonts w:hint="default" w:ascii="Manjari" w:hAnsi="Manjari" w:cs="Manjari"/>
          <w:sz w:val="24"/>
          <w:szCs w:val="24"/>
          <w:lang w:val="en"/>
        </w:rPr>
      </w:pPr>
      <w:r>
        <w:rPr>
          <w:rFonts w:hint="default" w:ascii="Manjari" w:hAnsi="Manjari" w:cs="Manjari"/>
          <w:sz w:val="24"/>
          <w:szCs w:val="24"/>
          <w:lang w:val="en"/>
        </w:rPr>
        <w:t>corresponding to the directed edge from node j 0 to node j.</w:t>
      </w:r>
    </w:p>
    <w:p>
      <w:pPr>
        <w:rPr>
          <w:rFonts w:hint="default"/>
          <w:sz w:val="24"/>
          <w:szCs w:val="24"/>
          <w:lang w:val="en"/>
        </w:rPr>
      </w:pPr>
      <w:r>
        <w:drawing>
          <wp:inline distT="0" distB="0" distL="114300" distR="114300">
            <wp:extent cx="5271135" cy="1122680"/>
            <wp:effectExtent l="0" t="0" r="5715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每一个neuron的值就是它之前的所有neuron的weight*value相加（为什么没有bias呢？）</w:t>
      </w:r>
    </w:p>
    <w:p>
      <w:r>
        <w:drawing>
          <wp:inline distT="0" distB="0" distL="114300" distR="114300">
            <wp:extent cx="5273675" cy="967105"/>
            <wp:effectExtent l="0" t="0" r="3175" b="444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r>
        <w:drawing>
          <wp:inline distT="0" distB="0" distL="114300" distR="114300">
            <wp:extent cx="5273040" cy="711835"/>
            <wp:effectExtent l="0" t="0" r="381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880110"/>
            <wp:effectExtent l="0" t="0" r="3810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77340"/>
            <wp:effectExtent l="0" t="0" r="3810" b="381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95033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88645"/>
            <wp:effectExtent l="0" t="0" r="3810" b="190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3040" cy="2559685"/>
            <wp:effectExtent l="0" t="0" r="3810" b="1206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R PL UMing TW MBE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Manjari">
    <w:panose1 w:val="02000503000000000000"/>
    <w:charset w:val="00"/>
    <w:family w:val="auto"/>
    <w:pitch w:val="default"/>
    <w:sig w:usb0="0080000F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9C9F5"/>
    <w:rsid w:val="1DFD15E4"/>
    <w:rsid w:val="38FEE04A"/>
    <w:rsid w:val="3B6F364F"/>
    <w:rsid w:val="3CD77ACC"/>
    <w:rsid w:val="3DDF5C79"/>
    <w:rsid w:val="3EDF4472"/>
    <w:rsid w:val="3F7ECB4E"/>
    <w:rsid w:val="57EBE09B"/>
    <w:rsid w:val="57FDD318"/>
    <w:rsid w:val="5CABB4B9"/>
    <w:rsid w:val="5EFB9850"/>
    <w:rsid w:val="5FAEDA96"/>
    <w:rsid w:val="6CD9098C"/>
    <w:rsid w:val="6E9B02B3"/>
    <w:rsid w:val="73F1FF38"/>
    <w:rsid w:val="757ADA3C"/>
    <w:rsid w:val="77CF2375"/>
    <w:rsid w:val="78FAE15F"/>
    <w:rsid w:val="7D6FDB78"/>
    <w:rsid w:val="7ED85D6A"/>
    <w:rsid w:val="7F3D3143"/>
    <w:rsid w:val="7FBDD4DC"/>
    <w:rsid w:val="7FCFBBD9"/>
    <w:rsid w:val="7FF7AE58"/>
    <w:rsid w:val="8FE3954F"/>
    <w:rsid w:val="9BFFD40F"/>
    <w:rsid w:val="A87E07F2"/>
    <w:rsid w:val="B7FF31D7"/>
    <w:rsid w:val="BBE884F5"/>
    <w:rsid w:val="BF79C9F5"/>
    <w:rsid w:val="CB763DEB"/>
    <w:rsid w:val="CFEB071F"/>
    <w:rsid w:val="DFF701D4"/>
    <w:rsid w:val="DFFD74B9"/>
    <w:rsid w:val="E78FE4EF"/>
    <w:rsid w:val="EB7A52DC"/>
    <w:rsid w:val="EE7D2200"/>
    <w:rsid w:val="EFFEA939"/>
    <w:rsid w:val="F1EB2C54"/>
    <w:rsid w:val="FDDB60E8"/>
    <w:rsid w:val="FDDF6593"/>
    <w:rsid w:val="FDE6E930"/>
    <w:rsid w:val="FFD5186F"/>
    <w:rsid w:val="FF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2019-04-12T09:56:00Z</dcterms:created>
  <dc:creator>hu</dc:creator>
  <cp:lastModifiedBy>hu</cp:lastModifiedBy>
  <dcterms:modified xsi:type="dcterms:W3CDTF">2019-04-13T21:28:33Z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