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17365D"/>
          </w:tcPr>
          <w:p>
            <w:pPr>
              <w:jc w:val="center"/>
            </w:pPr>
            <w:r>
              <w:rPr>
                <w:b/>
                <w:color w:val="FFFFFF"/>
                <w:sz w:val="40"/>
              </w:rPr>
              <w:t>COST MODEL &amp; INDICATIVE PRICING</w:t>
            </w:r>
          </w:p>
          <w:p>
            <w:pPr>
              <w:jc w:val="center"/>
            </w:pPr>
            <w:r>
              <w:rPr>
                <w:color w:val="D6E2F0"/>
                <w:sz w:val="21"/>
              </w:rPr>
              <w:t>Haibotix Agentic SDLC Platform</w:t>
            </w:r>
          </w:p>
          <w:p>
            <w:pPr>
              <w:jc w:val="center"/>
            </w:pPr>
            <w:r>
              <w:rPr>
                <w:color w:val="D6E2F0"/>
                <w:sz w:val="21"/>
              </w:rPr>
              <w:t>End-to-End Software Lifecycle Automation, Powered by Agentic AI</w:t>
            </w:r>
          </w:p>
          <w:p>
            <w:pPr>
              <w:jc w:val="center"/>
            </w:pPr>
            <w:r>
              <w:rPr>
                <w:color w:val="D6E2F0"/>
                <w:sz w:val="21"/>
              </w:rPr>
              <w:t>Google Cloud Platform Deployment  ·  Web &amp; Desktop Applications</w:t>
            </w:r>
          </w:p>
        </w:tc>
      </w:tr>
    </w:tbl>
    <w:p/>
    <w:p>
      <w:pPr>
        <w:jc w:val="center"/>
      </w:pPr>
      <w:r>
        <w:rPr>
          <w:b/>
          <w:color w:val="17365D"/>
          <w:sz w:val="48"/>
        </w:rPr>
        <w:t>Cost Model &amp; Indicative Pricing — Google Cloud Platform</w:t>
      </w:r>
    </w:p>
    <w:p>
      <w:pPr>
        <w:jc w:val="center"/>
      </w:pPr>
      <w:r>
        <w:rPr>
          <w:color w:val="4F81BD"/>
          <w:sz w:val="25"/>
        </w:rPr>
        <w:t>Single-Tenant Virtual Machine and Multi-Tenant Kubernetes</w:t>
      </w:r>
    </w:p>
    <w:p/>
    <w:tbl>
      <w:tblPr>
        <w:tblStyle w:val="TableGrid"/>
        <w:tblW w:type="auto" w:w="0"/>
        <w:jc w:val="center"/>
        <w:tblLayout w:type="fixed"/>
        <w:tblLook w:firstColumn="1" w:firstRow="1" w:lastColumn="0" w:lastRow="0" w:noHBand="0" w:noVBand="1" w:val="04A0"/>
      </w:tblPr>
      <w:tblGrid>
        <w:gridCol w:w="4320"/>
        <w:gridCol w:w="4320"/>
      </w:tblGrid>
      <w:tr>
        <w:tc>
          <w:tcPr>
            <w:tcW w:type="dxa" w:w="2448"/>
            <w:shd w:val="clear" w:color="auto" w:fill="EFF3F8"/>
          </w:tcPr>
          <w:p>
            <w:r>
              <w:rPr>
                <w:b/>
                <w:sz w:val="20"/>
              </w:rPr>
              <w:t>Document Title</w:t>
            </w:r>
          </w:p>
        </w:tc>
        <w:tc>
          <w:tcPr>
            <w:tcW w:type="dxa" w:w="6192"/>
          </w:tcPr>
          <w:p>
            <w:r>
              <w:rPr>
                <w:sz w:val="20"/>
              </w:rPr>
              <w:t>Haibotix Agentic SDLC Platform — GCP Cost Model</w:t>
            </w:r>
          </w:p>
        </w:tc>
      </w:tr>
      <w:tr>
        <w:tc>
          <w:tcPr>
            <w:tcW w:type="dxa" w:w="2448"/>
            <w:shd w:val="clear" w:color="auto" w:fill="EFF3F8"/>
          </w:tcPr>
          <w:p>
            <w:r>
              <w:rPr>
                <w:b/>
                <w:sz w:val="20"/>
              </w:rPr>
              <w:t>Version</w:t>
            </w:r>
          </w:p>
        </w:tc>
        <w:tc>
          <w:tcPr>
            <w:tcW w:type="dxa" w:w="6192"/>
          </w:tcPr>
          <w:p>
            <w:r>
              <w:rPr>
                <w:sz w:val="20"/>
              </w:rPr>
              <w:t>1.0</w:t>
            </w:r>
          </w:p>
        </w:tc>
      </w:tr>
      <w:tr>
        <w:tc>
          <w:tcPr>
            <w:tcW w:type="dxa" w:w="2448"/>
            <w:shd w:val="clear" w:color="auto" w:fill="EFF3F8"/>
          </w:tcPr>
          <w:p>
            <w:r>
              <w:rPr>
                <w:b/>
                <w:sz w:val="20"/>
              </w:rPr>
              <w:t>Date</w:t>
            </w:r>
          </w:p>
        </w:tc>
        <w:tc>
          <w:tcPr>
            <w:tcW w:type="dxa" w:w="6192"/>
          </w:tcPr>
          <w:p>
            <w:r>
              <w:rPr>
                <w:sz w:val="20"/>
              </w:rPr>
              <w:t>September 2026</w:t>
            </w:r>
          </w:p>
        </w:tc>
      </w:tr>
      <w:tr>
        <w:tc>
          <w:tcPr>
            <w:tcW w:type="dxa" w:w="2448"/>
            <w:shd w:val="clear" w:color="auto" w:fill="EFF3F8"/>
          </w:tcPr>
          <w:p>
            <w:r>
              <w:rPr>
                <w:b/>
                <w:sz w:val="20"/>
              </w:rPr>
              <w:t>Prepared by</w:t>
            </w:r>
          </w:p>
        </w:tc>
        <w:tc>
          <w:tcPr>
            <w:tcW w:type="dxa" w:w="6192"/>
          </w:tcPr>
          <w:p>
            <w:r>
              <w:rPr>
                <w:sz w:val="20"/>
              </w:rPr>
              <w:t>Haibotix — Solutions Engineering</w:t>
            </w:r>
          </w:p>
        </w:tc>
      </w:tr>
      <w:tr>
        <w:tc>
          <w:tcPr>
            <w:tcW w:type="dxa" w:w="2448"/>
            <w:shd w:val="clear" w:color="auto" w:fill="EFF3F8"/>
          </w:tcPr>
          <w:p>
            <w:r>
              <w:rPr>
                <w:b/>
                <w:sz w:val="20"/>
              </w:rPr>
              <w:t>Classification</w:t>
            </w:r>
          </w:p>
        </w:tc>
        <w:tc>
          <w:tcPr>
            <w:tcW w:type="dxa" w:w="6192"/>
          </w:tcPr>
          <w:p>
            <w:r>
              <w:rPr>
                <w:sz w:val="20"/>
              </w:rPr>
              <w:t>Customer Confidential</w:t>
            </w:r>
          </w:p>
        </w:tc>
      </w:tr>
    </w:tbl>
    <w:p/>
    <w:p>
      <w:pPr>
        <w:pBdr>
          <w:bottom w:val="single" w:sz="6" w:space="2" w:color="9DB8D2"/>
        </w:pBdr>
      </w:pPr>
      <w:r>
        <w:rPr>
          <w:b/>
          <w:color w:val="365F91"/>
          <w:sz w:val="30"/>
        </w:rPr>
        <w:t>1   Overview</w:t>
      </w:r>
    </w:p>
    <w:p>
      <w:r>
        <w:rPr>
          <w:i w:val="0"/>
          <w:color w:val="303030"/>
          <w:sz w:val="21"/>
        </w:rPr>
        <w:t>At the core of the platform is Anthropic Claude, providing general visual understanding of application screens with no per-application model training. The platform is delivered as a cloud-native solution on Google Cloud Platform — Compute Engine or Google Kubernetes Engine for compute, Cloud SQL and Cloud Storage for data, and Memorystore and Cloud Load Balancing for scale. Its caching-first execution design keeps ongoing AI cost low, while the deployment model keeps customer data within the customer’s chosen Google Cloud project and Region.</w:t>
      </w:r>
    </w:p>
    <w:p>
      <w:pPr>
        <w:pStyle w:val="ListBullet"/>
      </w:pPr>
      <w:r>
        <w:rPr>
          <w:b/>
          <w:sz w:val="21"/>
        </w:rPr>
        <w:t xml:space="preserve">Predictable, low run cost — </w:t>
      </w:r>
      <w:r>
        <w:rPr>
          <w:sz w:val="21"/>
        </w:rPr>
        <w:t>steady-state execution runs without AI calls, so recurring cost scales gently with the number of applications and test cases — not with how often suites are run.</w:t>
      </w:r>
    </w:p>
    <w:p>
      <w:pPr>
        <w:pStyle w:val="ListBullet"/>
      </w:pPr>
      <w:r>
        <w:rPr>
          <w:b/>
          <w:sz w:val="21"/>
        </w:rPr>
        <w:t xml:space="preserve">Two deployment shapes — </w:t>
      </w:r>
      <w:r>
        <w:rPr>
          <w:sz w:val="21"/>
        </w:rPr>
        <w:t>a single always-on VM for one customer; a shared Kubernetes cluster for many.</w:t>
      </w:r>
    </w:p>
    <w:p>
      <w:pPr>
        <w:pBdr>
          <w:bottom w:val="single" w:sz="6" w:space="2" w:color="9DB8D2"/>
        </w:pBdr>
      </w:pPr>
      <w:r>
        <w:rPr>
          <w:b/>
          <w:color w:val="365F91"/>
          <w:sz w:val="30"/>
        </w:rPr>
        <w:t>2   How Cost Is Determined</w:t>
      </w:r>
    </w:p>
    <w:p>
      <w:r>
        <w:rPr>
          <w:i w:val="0"/>
          <w:color w:val="303030"/>
          <w:sz w:val="21"/>
        </w:rPr>
        <w:t>Total cost is the sum of a software &amp; AI component and an infrastructure component:</w:t>
      </w:r>
    </w:p>
    <w:p>
      <w:pPr>
        <w:pStyle w:val="ListBullet"/>
      </w:pPr>
      <w:r>
        <w:rPr>
          <w:b/>
          <w:sz w:val="21"/>
        </w:rPr>
        <w:t xml:space="preserve">Software &amp; AI — </w:t>
      </w:r>
      <w:r>
        <w:rPr>
          <w:sz w:val="21"/>
        </w:rPr>
        <w:t>one-time application discovery and test planning, plus ongoing visual validation and self-healing, performed by Claude. Driven by measurable QA activity.</w:t>
      </w:r>
    </w:p>
    <w:p>
      <w:pPr>
        <w:pStyle w:val="ListBullet"/>
      </w:pPr>
      <w:r>
        <w:rPr>
          <w:b/>
          <w:sz w:val="21"/>
        </w:rPr>
        <w:t xml:space="preserve">Infrastructure — </w:t>
      </w:r>
      <w:r>
        <w:rPr>
          <w:sz w:val="21"/>
        </w:rPr>
        <w:t>the compute, database, cache, object storage, networking and operations that host the platform on Google Cloud.</w:t>
      </w:r>
    </w:p>
    <w:p>
      <w:r>
        <w:rPr>
          <w:i w:val="0"/>
          <w:color w:val="303030"/>
          <w:sz w:val="21"/>
        </w:rPr>
        <w:t>Because stable tests execute from cache with no AI calls, recurring cost stays low and grows with the number of applications, screens and test cases — not with how often suites are run.</w:t>
      </w:r>
    </w:p>
    <w:p>
      <w:pPr>
        <w:pBdr>
          <w:bottom w:val="single" w:sz="6" w:space="2" w:color="9DB8D2"/>
        </w:pBdr>
      </w:pPr>
      <w:r>
        <w:rPr>
          <w:b/>
          <w:color w:val="365F91"/>
          <w:sz w:val="30"/>
        </w:rPr>
        <w:t>3   The Intelligence Layer — Claude on Google Cloud</w:t>
      </w:r>
    </w:p>
    <w:p>
      <w:r>
        <w:rPr>
          <w:i w:val="0"/>
          <w:color w:val="303030"/>
          <w:sz w:val="21"/>
        </w:rPr>
        <w:t>Claude is consumed through Vertex AI (managed, in-Region, private over the customer’s Google Cloud network). Pricing is token-based; indicative rates used throughout this document are approximately $5 per million input tokens and $25 per million output tokens. What is sent to the model is deliberately minimal:</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304"/>
            <w:shd w:val="clear" w:color="auto" w:fill="E7EEF6"/>
          </w:tcPr>
          <w:p>
            <w:r>
              <w:rPr>
                <w:b/>
                <w:color w:val="17365D"/>
                <w:sz w:val="19"/>
              </w:rPr>
              <w:t>Stage</w:t>
            </w:r>
          </w:p>
        </w:tc>
        <w:tc>
          <w:tcPr>
            <w:tcW w:type="dxa" w:w="4464"/>
            <w:shd w:val="clear" w:color="auto" w:fill="E7EEF6"/>
          </w:tcPr>
          <w:p>
            <w:r>
              <w:rPr>
                <w:b/>
                <w:color w:val="17365D"/>
                <w:sz w:val="19"/>
              </w:rPr>
              <w:t>Sent to the AI model</w:t>
            </w:r>
          </w:p>
        </w:tc>
        <w:tc>
          <w:tcPr>
            <w:tcW w:type="dxa" w:w="2592"/>
            <w:shd w:val="clear" w:color="auto" w:fill="E7EEF6"/>
          </w:tcPr>
          <w:p>
            <w:r>
              <w:rPr>
                <w:b/>
                <w:color w:val="17365D"/>
                <w:sz w:val="19"/>
              </w:rPr>
              <w:t>When</w:t>
            </w:r>
          </w:p>
        </w:tc>
      </w:tr>
      <w:tr>
        <w:tc>
          <w:tcPr>
            <w:tcW w:type="dxa" w:w="2304"/>
          </w:tcPr>
          <w:p>
            <w:r>
              <w:rPr>
                <w:b/>
                <w:sz w:val="19"/>
              </w:rPr>
              <w:t>Application discovery</w:t>
            </w:r>
          </w:p>
        </w:tc>
        <w:tc>
          <w:tcPr>
            <w:tcW w:type="dxa" w:w="4464"/>
          </w:tcPr>
          <w:p>
            <w:r>
              <w:rPr>
                <w:sz w:val="19"/>
              </w:rPr>
              <w:t>Screenshots and on-screen element text</w:t>
            </w:r>
          </w:p>
        </w:tc>
        <w:tc>
          <w:tcPr>
            <w:tcW w:type="dxa" w:w="2592"/>
          </w:tcPr>
          <w:p>
            <w:r>
              <w:rPr>
                <w:sz w:val="19"/>
              </w:rPr>
              <w:t>Once per application (and on major UI change)</w:t>
            </w:r>
          </w:p>
        </w:tc>
      </w:tr>
      <w:tr>
        <w:tc>
          <w:tcPr>
            <w:tcW w:type="dxa" w:w="2304"/>
            <w:shd w:val="clear" w:color="auto" w:fill="F3F7FB"/>
          </w:tcPr>
          <w:p>
            <w:r>
              <w:rPr>
                <w:b/>
                <w:sz w:val="19"/>
              </w:rPr>
              <w:t>Test planning</w:t>
            </w:r>
          </w:p>
        </w:tc>
        <w:tc>
          <w:tcPr>
            <w:tcW w:type="dxa" w:w="4464"/>
            <w:shd w:val="clear" w:color="auto" w:fill="F3F7FB"/>
          </w:tcPr>
          <w:p>
            <w:r>
              <w:rPr>
                <w:sz w:val="19"/>
              </w:rPr>
              <w:t>The application model as text (no image)</w:t>
            </w:r>
          </w:p>
        </w:tc>
        <w:tc>
          <w:tcPr>
            <w:tcW w:type="dxa" w:w="2592"/>
            <w:shd w:val="clear" w:color="auto" w:fill="F3F7FB"/>
          </w:tcPr>
          <w:p>
            <w:r>
              <w:rPr>
                <w:sz w:val="19"/>
              </w:rPr>
              <w:t>Once per test, then cached</w:t>
            </w:r>
          </w:p>
        </w:tc>
      </w:tr>
      <w:tr>
        <w:tc>
          <w:tcPr>
            <w:tcW w:type="dxa" w:w="2304"/>
          </w:tcPr>
          <w:p>
            <w:r>
              <w:rPr>
                <w:b/>
                <w:sz w:val="19"/>
              </w:rPr>
              <w:t>Outcome validation</w:t>
            </w:r>
          </w:p>
        </w:tc>
        <w:tc>
          <w:tcPr>
            <w:tcW w:type="dxa" w:w="4464"/>
          </w:tcPr>
          <w:p>
            <w:r>
              <w:rPr>
                <w:sz w:val="19"/>
              </w:rPr>
              <w:t>A single screenshot</w:t>
            </w:r>
          </w:p>
        </w:tc>
        <w:tc>
          <w:tcPr>
            <w:tcW w:type="dxa" w:w="2592"/>
          </w:tcPr>
          <w:p>
            <w:r>
              <w:rPr>
                <w:sz w:val="19"/>
              </w:rPr>
              <w:t>Only for unfamiliar screens or failures</w:t>
            </w:r>
          </w:p>
        </w:tc>
      </w:tr>
      <w:tr>
        <w:tc>
          <w:tcPr>
            <w:tcW w:type="dxa" w:w="2304"/>
            <w:shd w:val="clear" w:color="auto" w:fill="F3F7FB"/>
          </w:tcPr>
          <w:p>
            <w:r>
              <w:rPr>
                <w:b/>
                <w:sz w:val="19"/>
              </w:rPr>
              <w:t>Self-healing</w:t>
            </w:r>
          </w:p>
        </w:tc>
        <w:tc>
          <w:tcPr>
            <w:tcW w:type="dxa" w:w="4464"/>
            <w:shd w:val="clear" w:color="auto" w:fill="F3F7FB"/>
          </w:tcPr>
          <w:p>
            <w:r>
              <w:rPr>
                <w:sz w:val="19"/>
              </w:rPr>
              <w:t>Failure description + the retrieved code snippet</w:t>
            </w:r>
          </w:p>
        </w:tc>
        <w:tc>
          <w:tcPr>
            <w:tcW w:type="dxa" w:w="2592"/>
            <w:shd w:val="clear" w:color="auto" w:fill="F3F7FB"/>
          </w:tcPr>
          <w:p>
            <w:r>
              <w:rPr>
                <w:sz w:val="19"/>
              </w:rPr>
              <w:t>Only when a test fails</w:t>
            </w:r>
          </w:p>
        </w:tc>
      </w:tr>
    </w:tbl>
    <w:p/>
    <w:p>
      <w:r>
        <w:rPr>
          <w:b/>
          <w:color w:val="4F81BD"/>
          <w:sz w:val="25"/>
        </w:rPr>
        <w:t>3.1   One-time onboarding — App Explorer &amp; initial planning</w:t>
      </w:r>
    </w:p>
    <w:p>
      <w:r>
        <w:rPr>
          <w:i w:val="0"/>
          <w:color w:val="303030"/>
          <w:sz w:val="21"/>
        </w:rPr>
        <w:t>Onboarding is the cost of discovering an application once and planning its tests. It is driven by application size, so it is modest for a compact application and materially larger for a big, complex one. Indicative unit rates: discovery ~$0.15–0.25 per screen (vision + reasoning); initial planning ~$0.10–0.20 per test case (text-only, cached).</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3888"/>
            <w:shd w:val="clear" w:color="auto" w:fill="E7EEF6"/>
          </w:tcPr>
          <w:p>
            <w:r>
              <w:rPr>
                <w:b/>
                <w:color w:val="17365D"/>
                <w:sz w:val="19"/>
              </w:rPr>
              <w:t>Application profile</w:t>
            </w:r>
          </w:p>
        </w:tc>
        <w:tc>
          <w:tcPr>
            <w:tcW w:type="dxa" w:w="1440"/>
            <w:shd w:val="clear" w:color="auto" w:fill="E7EEF6"/>
          </w:tcPr>
          <w:p>
            <w:r>
              <w:rPr>
                <w:b/>
                <w:color w:val="17365D"/>
                <w:sz w:val="19"/>
              </w:rPr>
              <w:t>Screens</w:t>
            </w:r>
          </w:p>
        </w:tc>
        <w:tc>
          <w:tcPr>
            <w:tcW w:type="dxa" w:w="1584"/>
            <w:shd w:val="clear" w:color="auto" w:fill="E7EEF6"/>
          </w:tcPr>
          <w:p>
            <w:r>
              <w:rPr>
                <w:b/>
                <w:color w:val="17365D"/>
                <w:sz w:val="19"/>
              </w:rPr>
              <w:t>Test cases</w:t>
            </w:r>
          </w:p>
        </w:tc>
        <w:tc>
          <w:tcPr>
            <w:tcW w:type="dxa" w:w="2448"/>
            <w:shd w:val="clear" w:color="auto" w:fill="E7EEF6"/>
          </w:tcPr>
          <w:p>
            <w:r>
              <w:rPr>
                <w:b/>
                <w:color w:val="17365D"/>
                <w:sz w:val="19"/>
              </w:rPr>
              <w:t>One-time onboarding</w:t>
            </w:r>
          </w:p>
        </w:tc>
      </w:tr>
      <w:tr>
        <w:tc>
          <w:tcPr>
            <w:tcW w:type="dxa" w:w="3888"/>
          </w:tcPr>
          <w:p>
            <w:r>
              <w:rPr>
                <w:b/>
                <w:sz w:val="19"/>
              </w:rPr>
              <w:t>Compact (e.g. a kiosk point-of-sale)</w:t>
            </w:r>
          </w:p>
        </w:tc>
        <w:tc>
          <w:tcPr>
            <w:tcW w:type="dxa" w:w="1440"/>
          </w:tcPr>
          <w:p>
            <w:r>
              <w:rPr>
                <w:sz w:val="19"/>
              </w:rPr>
              <w:t>~20</w:t>
            </w:r>
          </w:p>
        </w:tc>
        <w:tc>
          <w:tcPr>
            <w:tcW w:type="dxa" w:w="1584"/>
          </w:tcPr>
          <w:p>
            <w:r>
              <w:rPr>
                <w:sz w:val="19"/>
              </w:rPr>
              <w:t>~50</w:t>
            </w:r>
          </w:p>
        </w:tc>
        <w:tc>
          <w:tcPr>
            <w:tcW w:type="dxa" w:w="2448"/>
          </w:tcPr>
          <w:p>
            <w:r>
              <w:rPr>
                <w:sz w:val="19"/>
              </w:rPr>
              <w:t>~$5–10</w:t>
            </w:r>
          </w:p>
        </w:tc>
      </w:tr>
      <w:tr>
        <w:tc>
          <w:tcPr>
            <w:tcW w:type="dxa" w:w="3888"/>
            <w:shd w:val="clear" w:color="auto" w:fill="F3F7FB"/>
          </w:tcPr>
          <w:p>
            <w:r>
              <w:rPr>
                <w:b/>
                <w:sz w:val="19"/>
              </w:rPr>
              <w:t>Medium business application</w:t>
            </w:r>
          </w:p>
        </w:tc>
        <w:tc>
          <w:tcPr>
            <w:tcW w:type="dxa" w:w="1440"/>
            <w:shd w:val="clear" w:color="auto" w:fill="F3F7FB"/>
          </w:tcPr>
          <w:p>
            <w:r>
              <w:rPr>
                <w:sz w:val="19"/>
              </w:rPr>
              <w:t>~60</w:t>
            </w:r>
          </w:p>
        </w:tc>
        <w:tc>
          <w:tcPr>
            <w:tcW w:type="dxa" w:w="1584"/>
            <w:shd w:val="clear" w:color="auto" w:fill="F3F7FB"/>
          </w:tcPr>
          <w:p>
            <w:r>
              <w:rPr>
                <w:sz w:val="19"/>
              </w:rPr>
              <w:t>~100</w:t>
            </w:r>
          </w:p>
        </w:tc>
        <w:tc>
          <w:tcPr>
            <w:tcW w:type="dxa" w:w="2448"/>
            <w:shd w:val="clear" w:color="auto" w:fill="F3F7FB"/>
          </w:tcPr>
          <w:p>
            <w:r>
              <w:rPr>
                <w:sz w:val="19"/>
              </w:rPr>
              <w:t>~$18–35</w:t>
            </w:r>
          </w:p>
        </w:tc>
      </w:tr>
      <w:tr>
        <w:tc>
          <w:tcPr>
            <w:tcW w:type="dxa" w:w="3888"/>
          </w:tcPr>
          <w:p>
            <w:r>
              <w:rPr>
                <w:b/>
                <w:sz w:val="19"/>
              </w:rPr>
              <w:t>Large, complex application</w:t>
            </w:r>
          </w:p>
        </w:tc>
        <w:tc>
          <w:tcPr>
            <w:tcW w:type="dxa" w:w="1440"/>
          </w:tcPr>
          <w:p>
            <w:r>
              <w:rPr>
                <w:sz w:val="19"/>
              </w:rPr>
              <w:t>~150–250</w:t>
            </w:r>
          </w:p>
        </w:tc>
        <w:tc>
          <w:tcPr>
            <w:tcW w:type="dxa" w:w="1584"/>
          </w:tcPr>
          <w:p>
            <w:r>
              <w:rPr>
                <w:sz w:val="19"/>
              </w:rPr>
              <w:t>~150–250</w:t>
            </w:r>
          </w:p>
        </w:tc>
        <w:tc>
          <w:tcPr>
            <w:tcW w:type="dxa" w:w="2448"/>
          </w:tcPr>
          <w:p>
            <w:r>
              <w:rPr>
                <w:sz w:val="19"/>
              </w:rPr>
              <w:t>~$50–110</w:t>
            </w:r>
          </w:p>
        </w:tc>
      </w:tr>
      <w:tr>
        <w:tc>
          <w:tcPr>
            <w:tcW w:type="dxa" w:w="3888"/>
            <w:shd w:val="clear" w:color="auto" w:fill="F3F7FB"/>
          </w:tcPr>
          <w:p>
            <w:r>
              <w:rPr>
                <w:b/>
                <w:sz w:val="19"/>
              </w:rPr>
              <w:t>Very large enterprise application</w:t>
            </w:r>
          </w:p>
        </w:tc>
        <w:tc>
          <w:tcPr>
            <w:tcW w:type="dxa" w:w="1440"/>
            <w:shd w:val="clear" w:color="auto" w:fill="F3F7FB"/>
          </w:tcPr>
          <w:p>
            <w:r>
              <w:rPr>
                <w:sz w:val="19"/>
              </w:rPr>
              <w:t>~400+</w:t>
            </w:r>
          </w:p>
        </w:tc>
        <w:tc>
          <w:tcPr>
            <w:tcW w:type="dxa" w:w="1584"/>
            <w:shd w:val="clear" w:color="auto" w:fill="F3F7FB"/>
          </w:tcPr>
          <w:p>
            <w:r>
              <w:rPr>
                <w:sz w:val="19"/>
              </w:rPr>
              <w:t>~300+</w:t>
            </w:r>
          </w:p>
        </w:tc>
        <w:tc>
          <w:tcPr>
            <w:tcW w:type="dxa" w:w="2448"/>
            <w:shd w:val="clear" w:color="auto" w:fill="F3F7FB"/>
          </w:tcPr>
          <w:p>
            <w:r>
              <w:rPr>
                <w:sz w:val="19"/>
              </w:rPr>
              <w:t>~$110–200</w:t>
            </w:r>
          </w:p>
        </w:tc>
      </w:tr>
    </w:tbl>
    <w:p/>
    <w:p>
      <w:pPr>
        <w:shd w:val="clear" w:color="auto" w:fill="F1F6F1"/>
      </w:pPr>
      <w:r>
        <w:rPr>
          <w:i/>
          <w:color w:val="1E7A3C"/>
          <w:sz w:val="20"/>
        </w:rPr>
        <w:t>A large application with complex flows is discovered and planned for roughly $50–110 as a one-time cost — not the few-dollar figure that applies only to a small demo application. Discovery repeats only on a major UI change; the knowledge graph and cached plans are reused thereafter.</w:t>
      </w:r>
    </w:p>
    <w:p>
      <w:r>
        <w:rPr>
          <w:b/>
          <w:color w:val="4F81BD"/>
          <w:sz w:val="25"/>
        </w:rPr>
        <w:t>3.2   Recurring AI usage — validation &amp; self-healing</w:t>
      </w:r>
    </w:p>
    <w:p>
      <w:r>
        <w:rPr>
          <w:i w:val="0"/>
          <w:color w:val="303030"/>
          <w:sz w:val="21"/>
        </w:rPr>
        <w:t>In steady state, stable tests run from cached plans with local screen matching and no AI calls. Claude is used only for unfamiliar screens, occasional visual validation, and one diagnosis per failing test. Indicative monthly AI usage is ~$25–40 per application for typical applications, trending to ~$40–80 for large, complex applications with high test volume. Run frequency has little effect — caching keeps repeated execution near-zero.</w:t>
      </w:r>
    </w:p>
    <w:p>
      <w:pPr>
        <w:pBdr>
          <w:bottom w:val="single" w:sz="6" w:space="2" w:color="9DB8D2"/>
        </w:pBdr>
      </w:pPr>
      <w:r>
        <w:rPr>
          <w:b/>
          <w:color w:val="365F91"/>
          <w:sz w:val="30"/>
        </w:rPr>
        <w:t>4   Infrastructure — Scenario A: Single-Tenant Virtual Machine</w:t>
      </w:r>
    </w:p>
    <w:p>
      <w:r>
        <w:rPr>
          <w:i w:val="0"/>
          <w:color w:val="303030"/>
          <w:sz w:val="21"/>
        </w:rPr>
        <w:t>One customer on one Compute Engine VM. Configuration: an e2-standard-4 (4 vCPU, 16 GB) with a 50 GB balanced persistent disk and a static external IP, running the application, an isolated browser, PostgreSQL, object storage and the cache together — the right shape for a single customer (one or many applications) and for pilots. Assumed always-on, 24×7 (≈730 hours per month).</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880"/>
            <w:shd w:val="clear" w:color="auto" w:fill="E7EEF6"/>
          </w:tcPr>
          <w:p>
            <w:r>
              <w:rPr>
                <w:b/>
                <w:color w:val="17365D"/>
                <w:sz w:val="19"/>
              </w:rPr>
              <w:t>Google Cloud service</w:t>
            </w:r>
          </w:p>
        </w:tc>
        <w:tc>
          <w:tcPr>
            <w:tcW w:type="dxa" w:w="4752"/>
            <w:shd w:val="clear" w:color="auto" w:fill="E7EEF6"/>
          </w:tcPr>
          <w:p>
            <w:r>
              <w:rPr>
                <w:b/>
                <w:color w:val="17365D"/>
                <w:sz w:val="19"/>
              </w:rPr>
              <w:t>Configuration</w:t>
            </w:r>
          </w:p>
        </w:tc>
        <w:tc>
          <w:tcPr>
            <w:tcW w:type="dxa" w:w="1728"/>
            <w:shd w:val="clear" w:color="auto" w:fill="E7EEF6"/>
          </w:tcPr>
          <w:p>
            <w:r>
              <w:rPr>
                <w:b/>
                <w:color w:val="17365D"/>
                <w:sz w:val="19"/>
              </w:rPr>
              <w:t>Monthly (USD)</w:t>
            </w:r>
          </w:p>
        </w:tc>
      </w:tr>
      <w:tr>
        <w:tc>
          <w:tcPr>
            <w:tcW w:type="dxa" w:w="2880"/>
          </w:tcPr>
          <w:p>
            <w:r>
              <w:rPr>
                <w:b/>
                <w:sz w:val="19"/>
              </w:rPr>
              <w:t>Compute Engine VM</w:t>
            </w:r>
          </w:p>
        </w:tc>
        <w:tc>
          <w:tcPr>
            <w:tcW w:type="dxa" w:w="4752"/>
          </w:tcPr>
          <w:p>
            <w:r>
              <w:rPr>
                <w:sz w:val="19"/>
              </w:rPr>
              <w:t>e2-standard-4 (4 vCPU, 16 GB), 730 h</w:t>
            </w:r>
          </w:p>
        </w:tc>
        <w:tc>
          <w:tcPr>
            <w:tcW w:type="dxa" w:w="1728"/>
          </w:tcPr>
          <w:p>
            <w:r>
              <w:rPr>
                <w:sz w:val="19"/>
              </w:rPr>
              <w:t>~$98</w:t>
            </w:r>
          </w:p>
        </w:tc>
      </w:tr>
      <w:tr>
        <w:tc>
          <w:tcPr>
            <w:tcW w:type="dxa" w:w="2880"/>
            <w:shd w:val="clear" w:color="auto" w:fill="F3F7FB"/>
          </w:tcPr>
          <w:p>
            <w:r>
              <w:rPr>
                <w:b/>
                <w:sz w:val="19"/>
              </w:rPr>
              <w:t>Persistent Disk</w:t>
            </w:r>
          </w:p>
        </w:tc>
        <w:tc>
          <w:tcPr>
            <w:tcW w:type="dxa" w:w="4752"/>
            <w:shd w:val="clear" w:color="auto" w:fill="F3F7FB"/>
          </w:tcPr>
          <w:p>
            <w:r>
              <w:rPr>
                <w:sz w:val="19"/>
              </w:rPr>
              <w:t>Balanced, 50 GB</w:t>
            </w:r>
          </w:p>
        </w:tc>
        <w:tc>
          <w:tcPr>
            <w:tcW w:type="dxa" w:w="1728"/>
            <w:shd w:val="clear" w:color="auto" w:fill="F3F7FB"/>
          </w:tcPr>
          <w:p>
            <w:r>
              <w:rPr>
                <w:sz w:val="19"/>
              </w:rPr>
              <w:t>~$5</w:t>
            </w:r>
          </w:p>
        </w:tc>
      </w:tr>
      <w:tr>
        <w:tc>
          <w:tcPr>
            <w:tcW w:type="dxa" w:w="2880"/>
          </w:tcPr>
          <w:p>
            <w:r>
              <w:rPr>
                <w:b/>
                <w:sz w:val="19"/>
              </w:rPr>
              <w:t>External static IP</w:t>
            </w:r>
          </w:p>
        </w:tc>
        <w:tc>
          <w:tcPr>
            <w:tcW w:type="dxa" w:w="4752"/>
          </w:tcPr>
          <w:p>
            <w:r>
              <w:rPr>
                <w:sz w:val="19"/>
              </w:rPr>
              <w:t>1 address, in use, 730 h</w:t>
            </w:r>
          </w:p>
        </w:tc>
        <w:tc>
          <w:tcPr>
            <w:tcW w:type="dxa" w:w="1728"/>
          </w:tcPr>
          <w:p>
            <w:r>
              <w:rPr>
                <w:sz w:val="19"/>
              </w:rPr>
              <w:t>~$4</w:t>
            </w:r>
          </w:p>
        </w:tc>
      </w:tr>
      <w:tr>
        <w:tc>
          <w:tcPr>
            <w:tcW w:type="dxa" w:w="2880"/>
            <w:shd w:val="clear" w:color="auto" w:fill="F3F7FB"/>
          </w:tcPr>
          <w:p>
            <w:r>
              <w:rPr>
                <w:b/>
                <w:sz w:val="19"/>
              </w:rPr>
              <w:t>Network egress</w:t>
            </w:r>
          </w:p>
        </w:tc>
        <w:tc>
          <w:tcPr>
            <w:tcW w:type="dxa" w:w="4752"/>
            <w:shd w:val="clear" w:color="auto" w:fill="F3F7FB"/>
          </w:tcPr>
          <w:p>
            <w:r>
              <w:rPr>
                <w:sz w:val="19"/>
              </w:rPr>
              <w:t>Light — screenshots to the model API + console traffic</w:t>
            </w:r>
          </w:p>
        </w:tc>
        <w:tc>
          <w:tcPr>
            <w:tcW w:type="dxa" w:w="1728"/>
            <w:shd w:val="clear" w:color="auto" w:fill="F3F7FB"/>
          </w:tcPr>
          <w:p>
            <w:r>
              <w:rPr>
                <w:sz w:val="19"/>
              </w:rPr>
              <w:t>~$2–5</w:t>
            </w:r>
          </w:p>
        </w:tc>
      </w:tr>
      <w:tr>
        <w:tc>
          <w:tcPr>
            <w:tcW w:type="dxa" w:w="2880"/>
          </w:tcPr>
          <w:p>
            <w:r>
              <w:rPr>
                <w:b/>
                <w:sz w:val="19"/>
              </w:rPr>
              <w:t>Artifact Registry</w:t>
            </w:r>
          </w:p>
        </w:tc>
        <w:tc>
          <w:tcPr>
            <w:tcW w:type="dxa" w:w="4752"/>
          </w:tcPr>
          <w:p>
            <w:r>
              <w:rPr>
                <w:sz w:val="19"/>
              </w:rPr>
              <w:t>Container image storage</w:t>
            </w:r>
          </w:p>
        </w:tc>
        <w:tc>
          <w:tcPr>
            <w:tcW w:type="dxa" w:w="1728"/>
          </w:tcPr>
          <w:p>
            <w:r>
              <w:rPr>
                <w:sz w:val="19"/>
              </w:rPr>
              <w:t>~$1</w:t>
            </w:r>
          </w:p>
        </w:tc>
      </w:tr>
      <w:tr>
        <w:tc>
          <w:tcPr>
            <w:tcW w:type="dxa" w:w="2880"/>
            <w:shd w:val="clear" w:color="auto" w:fill="F3F7FB"/>
          </w:tcPr>
          <w:p>
            <w:r>
              <w:rPr>
                <w:b/>
                <w:sz w:val="19"/>
              </w:rPr>
              <w:t>Data stores</w:t>
            </w:r>
          </w:p>
        </w:tc>
        <w:tc>
          <w:tcPr>
            <w:tcW w:type="dxa" w:w="4752"/>
            <w:shd w:val="clear" w:color="auto" w:fill="F3F7FB"/>
          </w:tcPr>
          <w:p>
            <w:r>
              <w:rPr>
                <w:sz w:val="19"/>
              </w:rPr>
              <w:t>PostgreSQL, object storage and cache co-hosted on the VM</w:t>
            </w:r>
          </w:p>
        </w:tc>
        <w:tc>
          <w:tcPr>
            <w:tcW w:type="dxa" w:w="1728"/>
            <w:shd w:val="clear" w:color="auto" w:fill="F3F7FB"/>
          </w:tcPr>
          <w:p>
            <w:r>
              <w:rPr>
                <w:sz w:val="19"/>
              </w:rPr>
              <w:t>$0</w:t>
            </w:r>
          </w:p>
        </w:tc>
      </w:tr>
      <w:tr>
        <w:tc>
          <w:tcPr>
            <w:tcW w:type="dxa" w:w="2880"/>
            <w:shd w:val="clear" w:color="auto" w:fill="E4ECF6"/>
          </w:tcPr>
          <w:p>
            <w:r>
              <w:rPr>
                <w:b/>
                <w:sz w:val="19"/>
              </w:rPr>
              <w:t>Infrastructure subtotal</w:t>
            </w:r>
          </w:p>
        </w:tc>
        <w:tc>
          <w:tcPr>
            <w:tcW w:type="dxa" w:w="4752"/>
            <w:shd w:val="clear" w:color="auto" w:fill="E4ECF6"/>
          </w:tcPr>
          <w:p>
            <w:r>
              <w:rPr>
                <w:b/>
                <w:sz w:val="19"/>
              </w:rPr>
            </w:r>
          </w:p>
        </w:tc>
        <w:tc>
          <w:tcPr>
            <w:tcW w:type="dxa" w:w="1728"/>
            <w:shd w:val="clear" w:color="auto" w:fill="E4ECF6"/>
          </w:tcPr>
          <w:p>
            <w:r>
              <w:rPr>
                <w:b/>
                <w:sz w:val="19"/>
              </w:rPr>
              <w:t>~$110</w:t>
            </w:r>
          </w:p>
        </w:tc>
      </w:tr>
    </w:tbl>
    <w:p/>
    <w:p>
      <w:r>
        <w:rPr>
          <w:i/>
          <w:color w:val="707070"/>
          <w:sz w:val="21"/>
        </w:rPr>
        <w:t>One VM comfortably hosts all applications of a single customer — they share the box and are kept separate internally — so a customer with several applications stays on one VM; only AI usage grows with the number of applications.</w:t>
      </w:r>
    </w:p>
    <w:p>
      <w:pPr>
        <w:pBdr>
          <w:bottom w:val="single" w:sz="6" w:space="2" w:color="9DB8D2"/>
        </w:pBdr>
      </w:pPr>
      <w:r>
        <w:rPr>
          <w:b/>
          <w:color w:val="365F91"/>
          <w:sz w:val="30"/>
        </w:rPr>
        <w:t>5   Infrastructure — Scenario B: Multi-Tenant Kubernetes</w:t>
      </w:r>
    </w:p>
    <w:p>
      <w:r>
        <w:rPr>
          <w:i w:val="0"/>
          <w:color w:val="303030"/>
          <w:sz w:val="21"/>
        </w:rPr>
        <w:t>Many customers on shared infrastructure, on Google Kubernetes Engine (GKE) with managed data services. Configuration: one regional GKE cluster; a node pool of three e2-standard-4 nodes as a baseline that auto-scales at peak; Cloud SQL for PostgreSQL (2 vCPU / 8 GB); Memorystore for Redis; Cloud Storage; an external HTTP(S) load balancer; and Cloud Operations. The estimate below is for 50 applications (10 customers × 5 applications), always-on. Customers are isolated logically — every record, object and live channel is stamped with the owning customer — so there is no per-customer infrastructure to duplicate.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168"/>
            <w:shd w:val="clear" w:color="auto" w:fill="E7EEF6"/>
          </w:tcPr>
          <w:p>
            <w:r>
              <w:rPr>
                <w:b/>
                <w:color w:val="17365D"/>
                <w:sz w:val="19"/>
              </w:rPr>
              <w:t>Google Cloud service</w:t>
            </w:r>
          </w:p>
        </w:tc>
        <w:tc>
          <w:tcPr>
            <w:tcW w:type="dxa" w:w="4464"/>
            <w:shd w:val="clear" w:color="auto" w:fill="E7EEF6"/>
          </w:tcPr>
          <w:p>
            <w:r>
              <w:rPr>
                <w:b/>
                <w:color w:val="17365D"/>
                <w:sz w:val="19"/>
              </w:rPr>
              <w:t>Configuration</w:t>
            </w:r>
          </w:p>
        </w:tc>
        <w:tc>
          <w:tcPr>
            <w:tcW w:type="dxa" w:w="2160"/>
            <w:shd w:val="clear" w:color="auto" w:fill="E7EEF6"/>
          </w:tcPr>
          <w:p>
            <w:r>
              <w:rPr>
                <w:b/>
                <w:color w:val="17365D"/>
                <w:sz w:val="19"/>
              </w:rPr>
              <w:t>Monthly (USD)</w:t>
            </w:r>
          </w:p>
        </w:tc>
      </w:tr>
      <w:tr>
        <w:tc>
          <w:tcPr>
            <w:tcW w:type="dxa" w:w="3168"/>
          </w:tcPr>
          <w:p>
            <w:r>
              <w:rPr>
                <w:b/>
                <w:sz w:val="19"/>
              </w:rPr>
              <w:t>GKE cluster management</w:t>
            </w:r>
          </w:p>
        </w:tc>
        <w:tc>
          <w:tcPr>
            <w:tcW w:type="dxa" w:w="4464"/>
          </w:tcPr>
          <w:p>
            <w:r>
              <w:rPr>
                <w:sz w:val="19"/>
              </w:rPr>
              <w:t>1 cluster, $0.10/h</w:t>
            </w:r>
          </w:p>
        </w:tc>
        <w:tc>
          <w:tcPr>
            <w:tcW w:type="dxa" w:w="2160"/>
          </w:tcPr>
          <w:p>
            <w:r>
              <w:rPr>
                <w:sz w:val="19"/>
              </w:rPr>
              <w:t>~$73</w:t>
            </w:r>
          </w:p>
        </w:tc>
      </w:tr>
      <w:tr>
        <w:tc>
          <w:tcPr>
            <w:tcW w:type="dxa" w:w="3168"/>
            <w:shd w:val="clear" w:color="auto" w:fill="F3F7FB"/>
          </w:tcPr>
          <w:p>
            <w:r>
              <w:rPr>
                <w:b/>
                <w:sz w:val="19"/>
              </w:rPr>
              <w:t>Node pool (compute)</w:t>
            </w:r>
          </w:p>
        </w:tc>
        <w:tc>
          <w:tcPr>
            <w:tcW w:type="dxa" w:w="4464"/>
            <w:shd w:val="clear" w:color="auto" w:fill="F3F7FB"/>
          </w:tcPr>
          <w:p>
            <w:r>
              <w:rPr>
                <w:sz w:val="19"/>
              </w:rPr>
              <w:t>3× e2-standard-4 baseline; auto-scales at peak</w:t>
            </w:r>
          </w:p>
        </w:tc>
        <w:tc>
          <w:tcPr>
            <w:tcW w:type="dxa" w:w="2160"/>
            <w:shd w:val="clear" w:color="auto" w:fill="F3F7FB"/>
          </w:tcPr>
          <w:p>
            <w:r>
              <w:rPr>
                <w:sz w:val="19"/>
              </w:rPr>
              <w:t>~$294 (peak ~$490–590)</w:t>
            </w:r>
          </w:p>
        </w:tc>
      </w:tr>
      <w:tr>
        <w:tc>
          <w:tcPr>
            <w:tcW w:type="dxa" w:w="3168"/>
          </w:tcPr>
          <w:p>
            <w:r>
              <w:rPr>
                <w:b/>
                <w:sz w:val="19"/>
              </w:rPr>
              <w:t>Cloud SQL (PostgreSQL)</w:t>
            </w:r>
          </w:p>
        </w:tc>
        <w:tc>
          <w:tcPr>
            <w:tcW w:type="dxa" w:w="4464"/>
          </w:tcPr>
          <w:p>
            <w:r>
              <w:rPr>
                <w:sz w:val="19"/>
              </w:rPr>
              <w:t>2 vCPU / 8 GB, 50 GB SSD, zonal</w:t>
            </w:r>
          </w:p>
        </w:tc>
        <w:tc>
          <w:tcPr>
            <w:tcW w:type="dxa" w:w="2160"/>
          </w:tcPr>
          <w:p>
            <w:r>
              <w:rPr>
                <w:sz w:val="19"/>
              </w:rPr>
              <w:t>~$115 (HA ~$230)</w:t>
            </w:r>
          </w:p>
        </w:tc>
      </w:tr>
      <w:tr>
        <w:tc>
          <w:tcPr>
            <w:tcW w:type="dxa" w:w="3168"/>
            <w:shd w:val="clear" w:color="auto" w:fill="F3F7FB"/>
          </w:tcPr>
          <w:p>
            <w:r>
              <w:rPr>
                <w:b/>
                <w:sz w:val="19"/>
              </w:rPr>
              <w:t>Memorystore (Redis)</w:t>
            </w:r>
          </w:p>
        </w:tc>
        <w:tc>
          <w:tcPr>
            <w:tcW w:type="dxa" w:w="4464"/>
            <w:shd w:val="clear" w:color="auto" w:fill="F3F7FB"/>
          </w:tcPr>
          <w:p>
            <w:r>
              <w:rPr>
                <w:sz w:val="19"/>
              </w:rPr>
              <w:t>Basic tier, 1–2 GB (event bus + job queue)</w:t>
            </w:r>
          </w:p>
        </w:tc>
        <w:tc>
          <w:tcPr>
            <w:tcW w:type="dxa" w:w="2160"/>
            <w:shd w:val="clear" w:color="auto" w:fill="F3F7FB"/>
          </w:tcPr>
          <w:p>
            <w:r>
              <w:rPr>
                <w:sz w:val="19"/>
              </w:rPr>
              <w:t>~$36–70 (HA ~2×)</w:t>
            </w:r>
          </w:p>
        </w:tc>
      </w:tr>
      <w:tr>
        <w:tc>
          <w:tcPr>
            <w:tcW w:type="dxa" w:w="3168"/>
          </w:tcPr>
          <w:p>
            <w:r>
              <w:rPr>
                <w:b/>
                <w:sz w:val="19"/>
              </w:rPr>
              <w:t>Cloud Storage</w:t>
            </w:r>
          </w:p>
        </w:tc>
        <w:tc>
          <w:tcPr>
            <w:tcW w:type="dxa" w:w="4464"/>
          </w:tcPr>
          <w:p>
            <w:r>
              <w:rPr>
                <w:sz w:val="19"/>
              </w:rPr>
              <w:t>Screenshots, artifacts, plans + operations</w:t>
            </w:r>
          </w:p>
        </w:tc>
        <w:tc>
          <w:tcPr>
            <w:tcW w:type="dxa" w:w="2160"/>
          </w:tcPr>
          <w:p>
            <w:r>
              <w:rPr>
                <w:sz w:val="19"/>
              </w:rPr>
              <w:t>~$5–10</w:t>
            </w:r>
          </w:p>
        </w:tc>
      </w:tr>
      <w:tr>
        <w:tc>
          <w:tcPr>
            <w:tcW w:type="dxa" w:w="3168"/>
            <w:shd w:val="clear" w:color="auto" w:fill="F3F7FB"/>
          </w:tcPr>
          <w:p>
            <w:r>
              <w:rPr>
                <w:b/>
                <w:sz w:val="19"/>
              </w:rPr>
              <w:t>External HTTP(S) Load Balancer</w:t>
            </w:r>
          </w:p>
        </w:tc>
        <w:tc>
          <w:tcPr>
            <w:tcW w:type="dxa" w:w="4464"/>
            <w:shd w:val="clear" w:color="auto" w:fill="F3F7FB"/>
          </w:tcPr>
          <w:p>
            <w:r>
              <w:rPr>
                <w:sz w:val="19"/>
              </w:rPr>
              <w:t>1 forwarding rule + data processing</w:t>
            </w:r>
          </w:p>
        </w:tc>
        <w:tc>
          <w:tcPr>
            <w:tcW w:type="dxa" w:w="2160"/>
            <w:shd w:val="clear" w:color="auto" w:fill="F3F7FB"/>
          </w:tcPr>
          <w:p>
            <w:r>
              <w:rPr>
                <w:sz w:val="19"/>
              </w:rPr>
              <w:t>~$18–25</w:t>
            </w:r>
          </w:p>
        </w:tc>
      </w:tr>
      <w:tr>
        <w:tc>
          <w:tcPr>
            <w:tcW w:type="dxa" w:w="3168"/>
          </w:tcPr>
          <w:p>
            <w:r>
              <w:rPr>
                <w:b/>
                <w:sz w:val="19"/>
              </w:rPr>
              <w:t>Cloud Operations</w:t>
            </w:r>
          </w:p>
        </w:tc>
        <w:tc>
          <w:tcPr>
            <w:tcW w:type="dxa" w:w="4464"/>
          </w:tcPr>
          <w:p>
            <w:r>
              <w:rPr>
                <w:sz w:val="19"/>
              </w:rPr>
              <w:t>Logging &amp; monitoring beyond the free tier</w:t>
            </w:r>
          </w:p>
        </w:tc>
        <w:tc>
          <w:tcPr>
            <w:tcW w:type="dxa" w:w="2160"/>
          </w:tcPr>
          <w:p>
            <w:r>
              <w:rPr>
                <w:sz w:val="19"/>
              </w:rPr>
              <w:t>~$10–20</w:t>
            </w:r>
          </w:p>
        </w:tc>
      </w:tr>
      <w:tr>
        <w:tc>
          <w:tcPr>
            <w:tcW w:type="dxa" w:w="3168"/>
            <w:shd w:val="clear" w:color="auto" w:fill="F3F7FB"/>
          </w:tcPr>
          <w:p>
            <w:r>
              <w:rPr>
                <w:b/>
                <w:sz w:val="19"/>
              </w:rPr>
              <w:t>Egress + Artifact Registry</w:t>
            </w:r>
          </w:p>
        </w:tc>
        <w:tc>
          <w:tcPr>
            <w:tcW w:type="dxa" w:w="4464"/>
            <w:shd w:val="clear" w:color="auto" w:fill="F3F7FB"/>
          </w:tcPr>
          <w:p>
            <w:r>
              <w:rPr>
                <w:sz w:val="19"/>
              </w:rPr>
              <w:t>Internet egress + image storage</w:t>
            </w:r>
          </w:p>
        </w:tc>
        <w:tc>
          <w:tcPr>
            <w:tcW w:type="dxa" w:w="2160"/>
            <w:shd w:val="clear" w:color="auto" w:fill="F3F7FB"/>
          </w:tcPr>
          <w:p>
            <w:r>
              <w:rPr>
                <w:sz w:val="19"/>
              </w:rPr>
              <w:t>~$10</w:t>
            </w:r>
          </w:p>
        </w:tc>
      </w:tr>
      <w:tr>
        <w:tc>
          <w:tcPr>
            <w:tcW w:type="dxa" w:w="3168"/>
            <w:shd w:val="clear" w:color="auto" w:fill="E4ECF6"/>
          </w:tcPr>
          <w:p>
            <w:r>
              <w:rPr>
                <w:b/>
                <w:sz w:val="19"/>
              </w:rPr>
              <w:t>Infrastructure subtotal (baseline)</w:t>
            </w:r>
          </w:p>
        </w:tc>
        <w:tc>
          <w:tcPr>
            <w:tcW w:type="dxa" w:w="4464"/>
            <w:shd w:val="clear" w:color="auto" w:fill="E4ECF6"/>
          </w:tcPr>
          <w:p>
            <w:r>
              <w:rPr>
                <w:b/>
                <w:sz w:val="19"/>
              </w:rPr>
            </w:r>
          </w:p>
        </w:tc>
        <w:tc>
          <w:tcPr>
            <w:tcW w:type="dxa" w:w="2160"/>
            <w:shd w:val="clear" w:color="auto" w:fill="E4ECF6"/>
          </w:tcPr>
          <w:p>
            <w:r>
              <w:rPr>
                <w:b/>
                <w:sz w:val="19"/>
              </w:rPr>
              <w:t>~$560–620</w:t>
            </w:r>
          </w:p>
        </w:tc>
      </w:tr>
    </w:tbl>
    <w:p/>
    <w:p>
      <w:pPr>
        <w:shd w:val="clear" w:color="auto" w:fill="F1F6F1"/>
      </w:pPr>
      <w:r>
        <w:rPr>
          <w:i/>
          <w:color w:val="1E7A3C"/>
          <w:sz w:val="20"/>
        </w:rPr>
        <w:t>Multi-tenant is materially cheaper than running one VM per customer. Ten separate single-tenant VMs would cost roughly $1,100/month in compute floor alone (ten mostly-idle machines) with no central management; one shared cluster serves all fifty applications for ~$560–620/month, because the control plane, load balancer, database and worker pool are shared and scale to demand.</w:t>
      </w:r>
    </w:p>
    <w:p>
      <w:r>
        <w:rPr>
          <w:i/>
          <w:color w:val="707070"/>
          <w:sz w:val="21"/>
        </w:rPr>
        <w:t>Google Cloud credits one zonal cluster’s management fee per billing account; a regional cluster (used here for resilience) is charged. High-availability options (regional Cloud SQL, standard-tier Redis) roughly double those two lines and are optional for a pilot.</w:t>
      </w:r>
    </w:p>
    <w:p>
      <w:pPr>
        <w:pBdr>
          <w:bottom w:val="single" w:sz="6" w:space="2" w:color="9DB8D2"/>
        </w:pBdr>
      </w:pPr>
      <w:r>
        <w:rPr>
          <w:b/>
          <w:color w:val="365F91"/>
          <w:sz w:val="30"/>
        </w:rPr>
        <w:t>6   Indicative Monthly Cost</w:t>
      </w:r>
    </w:p>
    <w:p>
      <w:r>
        <w:rPr>
          <w:i w:val="0"/>
          <w:color w:val="303030"/>
          <w:sz w:val="21"/>
        </w:rPr>
        <w:t>The figures below are indicative planning estimates based on published Google Cloud list prices (us-central1) to show how cost scales; final pricing depends on live Google Cloud and Vertex AI rates and on the customer’s actual application size, Region and test volume. AI usage assumes an average of ~$25–40 per application per month (higher for very large applications, lower for compact ones).</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3600"/>
            <w:shd w:val="clear" w:color="auto" w:fill="E7EEF6"/>
          </w:tcPr>
          <w:p>
            <w:r>
              <w:rPr>
                <w:b/>
                <w:color w:val="17365D"/>
                <w:sz w:val="19"/>
              </w:rPr>
              <w:t>Deployment</w:t>
            </w:r>
          </w:p>
        </w:tc>
        <w:tc>
          <w:tcPr>
            <w:tcW w:type="dxa" w:w="1296"/>
            <w:shd w:val="clear" w:color="auto" w:fill="E7EEF6"/>
          </w:tcPr>
          <w:p>
            <w:r>
              <w:rPr>
                <w:b/>
                <w:color w:val="17365D"/>
                <w:sz w:val="19"/>
              </w:rPr>
              <w:t>Applications</w:t>
            </w:r>
          </w:p>
        </w:tc>
        <w:tc>
          <w:tcPr>
            <w:tcW w:type="dxa" w:w="1296"/>
            <w:shd w:val="clear" w:color="auto" w:fill="E7EEF6"/>
          </w:tcPr>
          <w:p>
            <w:r>
              <w:rPr>
                <w:b/>
                <w:color w:val="17365D"/>
                <w:sz w:val="19"/>
              </w:rPr>
              <w:t>Infra / mo</w:t>
            </w:r>
          </w:p>
        </w:tc>
        <w:tc>
          <w:tcPr>
            <w:tcW w:type="dxa" w:w="1584"/>
            <w:shd w:val="clear" w:color="auto" w:fill="E7EEF6"/>
          </w:tcPr>
          <w:p>
            <w:r>
              <w:rPr>
                <w:b/>
                <w:color w:val="17365D"/>
                <w:sz w:val="19"/>
              </w:rPr>
              <w:t>AI usage / mo</w:t>
            </w:r>
          </w:p>
        </w:tc>
        <w:tc>
          <w:tcPr>
            <w:tcW w:type="dxa" w:w="1584"/>
            <w:shd w:val="clear" w:color="auto" w:fill="E7EEF6"/>
          </w:tcPr>
          <w:p>
            <w:r>
              <w:rPr>
                <w:b/>
                <w:color w:val="17365D"/>
                <w:sz w:val="19"/>
              </w:rPr>
              <w:t>Total / mo</w:t>
            </w:r>
          </w:p>
        </w:tc>
        <w:tc>
          <w:tcPr>
            <w:tcW w:type="dxa" w:w="1872"/>
            <w:shd w:val="clear" w:color="auto" w:fill="E7EEF6"/>
          </w:tcPr>
          <w:p>
            <w:r>
              <w:rPr>
                <w:b/>
                <w:color w:val="17365D"/>
                <w:sz w:val="19"/>
              </w:rPr>
              <w:t>One-time onboarding</w:t>
            </w:r>
          </w:p>
        </w:tc>
      </w:tr>
      <w:tr>
        <w:tc>
          <w:tcPr>
            <w:tcW w:type="dxa" w:w="3600"/>
          </w:tcPr>
          <w:p>
            <w:r>
              <w:rPr>
                <w:b/>
                <w:sz w:val="19"/>
              </w:rPr>
              <w:t>Single VM — 1 compact app</w:t>
            </w:r>
          </w:p>
        </w:tc>
        <w:tc>
          <w:tcPr>
            <w:tcW w:type="dxa" w:w="1296"/>
          </w:tcPr>
          <w:p>
            <w:r>
              <w:rPr>
                <w:sz w:val="19"/>
              </w:rPr>
              <w:t>1</w:t>
            </w:r>
          </w:p>
        </w:tc>
        <w:tc>
          <w:tcPr>
            <w:tcW w:type="dxa" w:w="1296"/>
          </w:tcPr>
          <w:p>
            <w:r>
              <w:rPr>
                <w:sz w:val="19"/>
              </w:rPr>
              <w:t>~$110</w:t>
            </w:r>
          </w:p>
        </w:tc>
        <w:tc>
          <w:tcPr>
            <w:tcW w:type="dxa" w:w="1584"/>
          </w:tcPr>
          <w:p>
            <w:r>
              <w:rPr>
                <w:sz w:val="19"/>
              </w:rPr>
              <w:t>~$25–40</w:t>
            </w:r>
          </w:p>
        </w:tc>
        <w:tc>
          <w:tcPr>
            <w:tcW w:type="dxa" w:w="1584"/>
          </w:tcPr>
          <w:p>
            <w:r>
              <w:rPr>
                <w:sz w:val="19"/>
              </w:rPr>
              <w:t>~$135–150</w:t>
            </w:r>
          </w:p>
        </w:tc>
        <w:tc>
          <w:tcPr>
            <w:tcW w:type="dxa" w:w="1872"/>
          </w:tcPr>
          <w:p>
            <w:r>
              <w:rPr>
                <w:sz w:val="19"/>
              </w:rPr>
              <w:t>~$5–10</w:t>
            </w:r>
          </w:p>
        </w:tc>
      </w:tr>
      <w:tr>
        <w:tc>
          <w:tcPr>
            <w:tcW w:type="dxa" w:w="3600"/>
            <w:shd w:val="clear" w:color="auto" w:fill="F3F7FB"/>
          </w:tcPr>
          <w:p>
            <w:r>
              <w:rPr>
                <w:b/>
                <w:sz w:val="19"/>
              </w:rPr>
              <w:t>Single VM — 1 large, complex app</w:t>
            </w:r>
          </w:p>
        </w:tc>
        <w:tc>
          <w:tcPr>
            <w:tcW w:type="dxa" w:w="1296"/>
            <w:shd w:val="clear" w:color="auto" w:fill="F3F7FB"/>
          </w:tcPr>
          <w:p>
            <w:r>
              <w:rPr>
                <w:sz w:val="19"/>
              </w:rPr>
              <w:t>1</w:t>
            </w:r>
          </w:p>
        </w:tc>
        <w:tc>
          <w:tcPr>
            <w:tcW w:type="dxa" w:w="1296"/>
            <w:shd w:val="clear" w:color="auto" w:fill="F3F7FB"/>
          </w:tcPr>
          <w:p>
            <w:r>
              <w:rPr>
                <w:sz w:val="19"/>
              </w:rPr>
              <w:t>~$110</w:t>
            </w:r>
          </w:p>
        </w:tc>
        <w:tc>
          <w:tcPr>
            <w:tcW w:type="dxa" w:w="1584"/>
            <w:shd w:val="clear" w:color="auto" w:fill="F3F7FB"/>
          </w:tcPr>
          <w:p>
            <w:r>
              <w:rPr>
                <w:sz w:val="19"/>
              </w:rPr>
              <w:t>~$40–80</w:t>
            </w:r>
          </w:p>
        </w:tc>
        <w:tc>
          <w:tcPr>
            <w:tcW w:type="dxa" w:w="1584"/>
            <w:shd w:val="clear" w:color="auto" w:fill="F3F7FB"/>
          </w:tcPr>
          <w:p>
            <w:r>
              <w:rPr>
                <w:sz w:val="19"/>
              </w:rPr>
              <w:t>~$150–190</w:t>
            </w:r>
          </w:p>
        </w:tc>
        <w:tc>
          <w:tcPr>
            <w:tcW w:type="dxa" w:w="1872"/>
            <w:shd w:val="clear" w:color="auto" w:fill="F3F7FB"/>
          </w:tcPr>
          <w:p>
            <w:r>
              <w:rPr>
                <w:sz w:val="19"/>
              </w:rPr>
              <w:t>~$50–110</w:t>
            </w:r>
          </w:p>
        </w:tc>
      </w:tr>
      <w:tr>
        <w:tc>
          <w:tcPr>
            <w:tcW w:type="dxa" w:w="3600"/>
          </w:tcPr>
          <w:p>
            <w:r>
              <w:rPr>
                <w:b/>
                <w:sz w:val="19"/>
              </w:rPr>
              <w:t>Single VM — 1 customer, 10 apps</w:t>
            </w:r>
          </w:p>
        </w:tc>
        <w:tc>
          <w:tcPr>
            <w:tcW w:type="dxa" w:w="1296"/>
          </w:tcPr>
          <w:p>
            <w:r>
              <w:rPr>
                <w:sz w:val="19"/>
              </w:rPr>
              <w:t>10</w:t>
            </w:r>
          </w:p>
        </w:tc>
        <w:tc>
          <w:tcPr>
            <w:tcW w:type="dxa" w:w="1296"/>
          </w:tcPr>
          <w:p>
            <w:r>
              <w:rPr>
                <w:sz w:val="19"/>
              </w:rPr>
              <w:t>~$110</w:t>
            </w:r>
          </w:p>
        </w:tc>
        <w:tc>
          <w:tcPr>
            <w:tcW w:type="dxa" w:w="1584"/>
          </w:tcPr>
          <w:p>
            <w:r>
              <w:rPr>
                <w:sz w:val="19"/>
              </w:rPr>
              <w:t>~$250–400</w:t>
            </w:r>
          </w:p>
        </w:tc>
        <w:tc>
          <w:tcPr>
            <w:tcW w:type="dxa" w:w="1584"/>
          </w:tcPr>
          <w:p>
            <w:r>
              <w:rPr>
                <w:sz w:val="19"/>
              </w:rPr>
              <w:t>~$360–510</w:t>
            </w:r>
          </w:p>
        </w:tc>
        <w:tc>
          <w:tcPr>
            <w:tcW w:type="dxa" w:w="1872"/>
          </w:tcPr>
          <w:p>
            <w:r>
              <w:rPr>
                <w:sz w:val="19"/>
              </w:rPr>
              <w:t>~$50–300</w:t>
            </w:r>
          </w:p>
        </w:tc>
      </w:tr>
      <w:tr>
        <w:tc>
          <w:tcPr>
            <w:tcW w:type="dxa" w:w="3600"/>
            <w:shd w:val="clear" w:color="auto" w:fill="F3F7FB"/>
          </w:tcPr>
          <w:p>
            <w:r>
              <w:rPr>
                <w:b/>
                <w:sz w:val="19"/>
              </w:rPr>
              <w:t>GKE multi-tenant — 10 customers × 5</w:t>
            </w:r>
          </w:p>
        </w:tc>
        <w:tc>
          <w:tcPr>
            <w:tcW w:type="dxa" w:w="1296"/>
            <w:shd w:val="clear" w:color="auto" w:fill="F3F7FB"/>
          </w:tcPr>
          <w:p>
            <w:r>
              <w:rPr>
                <w:sz w:val="19"/>
              </w:rPr>
              <w:t>50</w:t>
            </w:r>
          </w:p>
        </w:tc>
        <w:tc>
          <w:tcPr>
            <w:tcW w:type="dxa" w:w="1296"/>
            <w:shd w:val="clear" w:color="auto" w:fill="F3F7FB"/>
          </w:tcPr>
          <w:p>
            <w:r>
              <w:rPr>
                <w:sz w:val="19"/>
              </w:rPr>
              <w:t>~$560–620</w:t>
            </w:r>
          </w:p>
        </w:tc>
        <w:tc>
          <w:tcPr>
            <w:tcW w:type="dxa" w:w="1584"/>
            <w:shd w:val="clear" w:color="auto" w:fill="F3F7FB"/>
          </w:tcPr>
          <w:p>
            <w:r>
              <w:rPr>
                <w:sz w:val="19"/>
              </w:rPr>
              <w:t>~$1,250–2,000</w:t>
            </w:r>
          </w:p>
        </w:tc>
        <w:tc>
          <w:tcPr>
            <w:tcW w:type="dxa" w:w="1584"/>
            <w:shd w:val="clear" w:color="auto" w:fill="F3F7FB"/>
          </w:tcPr>
          <w:p>
            <w:r>
              <w:rPr>
                <w:sz w:val="19"/>
              </w:rPr>
              <w:t>~$1,810–2,620</w:t>
            </w:r>
          </w:p>
        </w:tc>
        <w:tc>
          <w:tcPr>
            <w:tcW w:type="dxa" w:w="1872"/>
            <w:shd w:val="clear" w:color="auto" w:fill="F3F7FB"/>
          </w:tcPr>
          <w:p>
            <w:r>
              <w:rPr>
                <w:sz w:val="19"/>
              </w:rPr>
              <w:t>~$250–1,500</w:t>
            </w:r>
          </w:p>
        </w:tc>
      </w:tr>
    </w:tbl>
    <w:p/>
    <w:p>
      <w:pPr>
        <w:shd w:val="clear" w:color="auto" w:fill="F1F6F1"/>
      </w:pPr>
      <w:r>
        <w:rPr>
          <w:i/>
          <w:color w:val="1E7A3C"/>
          <w:sz w:val="20"/>
        </w:rPr>
        <w:t>At scale the per-application cost falls and holds steady — roughly $36–52 per application per month for fifty applications — because shared infrastructure, caching and reusable discovery memory make the cost per application sub-linear as the programme grows.</w:t>
      </w:r>
    </w:p>
    <w:p>
      <w:pPr>
        <w:pBdr>
          <w:bottom w:val="single" w:sz="6" w:space="2" w:color="9DB8D2"/>
        </w:pBdr>
      </w:pPr>
      <w:r>
        <w:rPr>
          <w:b/>
          <w:color w:val="365F91"/>
          <w:sz w:val="30"/>
        </w:rPr>
        <w:t>7   Pricing Levers</w:t>
      </w:r>
    </w:p>
    <w:p>
      <w:pPr>
        <w:pStyle w:val="ListBullet"/>
      </w:pPr>
      <w:r>
        <w:rPr>
          <w:b/>
          <w:sz w:val="21"/>
        </w:rPr>
        <w:t xml:space="preserve">Application size — </w:t>
      </w:r>
      <w:r>
        <w:rPr>
          <w:sz w:val="21"/>
        </w:rPr>
        <w:t>more screens per application increases one-time discovery cost.</w:t>
      </w:r>
    </w:p>
    <w:p>
      <w:pPr>
        <w:pStyle w:val="ListBullet"/>
      </w:pPr>
      <w:r>
        <w:rPr>
          <w:b/>
          <w:sz w:val="21"/>
        </w:rPr>
        <w:t xml:space="preserve">Test volume — </w:t>
      </w:r>
      <w:r>
        <w:rPr>
          <w:sz w:val="21"/>
        </w:rPr>
        <w:t>more test cases increases one-time planning cost (not per-run cost, thanks to caching).</w:t>
      </w:r>
    </w:p>
    <w:p>
      <w:pPr>
        <w:pStyle w:val="ListBullet"/>
      </w:pPr>
      <w:r>
        <w:rPr>
          <w:b/>
          <w:sz w:val="21"/>
        </w:rPr>
        <w:t xml:space="preserve">Validation depth — </w:t>
      </w:r>
      <w:r>
        <w:rPr>
          <w:sz w:val="21"/>
        </w:rPr>
        <w:t>richer visual validations add a small per-run AI cost; most validation is local and free.</w:t>
      </w:r>
    </w:p>
    <w:p>
      <w:pPr>
        <w:pStyle w:val="ListBullet"/>
      </w:pPr>
      <w:r>
        <w:rPr>
          <w:b/>
          <w:sz w:val="21"/>
        </w:rPr>
        <w:t xml:space="preserve">Run frequency — </w:t>
      </w:r>
      <w:r>
        <w:rPr>
          <w:sz w:val="21"/>
        </w:rPr>
        <w:t>has little effect on AI cost in steady state; it mainly influences compute hours.</w:t>
      </w:r>
    </w:p>
    <w:p>
      <w:pPr>
        <w:pStyle w:val="ListBullet"/>
      </w:pPr>
      <w:r>
        <w:rPr>
          <w:b/>
          <w:sz w:val="21"/>
        </w:rPr>
        <w:t xml:space="preserve">Infrastructure levers — </w:t>
      </w:r>
      <w:r>
        <w:rPr>
          <w:sz w:val="21"/>
        </w:rPr>
        <w:t>committed-use discounts (1-year ~25–37%, 3-year ~46–55%) on the VM, GKE nodes and Cloud SQL; Spot nodes for retriable test execution (~60–91% off); GKE Autopilot to remove the idle-node floor; stopping the VM outside business hours if 24×7 is not required.</w:t>
      </w:r>
    </w:p>
    <w:p>
      <w:pPr>
        <w:pBdr>
          <w:bottom w:val="single" w:sz="6" w:space="2" w:color="9DB8D2"/>
        </w:pBdr>
      </w:pPr>
      <w:r>
        <w:rPr>
          <w:b/>
          <w:color w:val="365F91"/>
          <w:sz w:val="30"/>
        </w:rPr>
        <w:t>8   Optional — Self-Hosted GPU Models for Auto-Repair (Llama 4 + GraphRAG)</w:t>
      </w:r>
    </w:p>
    <w:p>
      <w:r>
        <w:rPr>
          <w:i w:val="0"/>
          <w:color w:val="303030"/>
          <w:sz w:val="21"/>
        </w:rPr>
        <w:t>For customers with strict data-sovereignty or air-gapped requirements, the Auto-Repair stage can run on a self-hosted open model (for example Llama 4) on a GPU machine in the customer’s own Google Cloud project, so that no source code is sent to a third-party model service. Context retrieval for the fix can use Microsoft GraphRAG, which builds a knowledge graph of the codebase and design documents for higher-precision, multi-hop retrieval on complex defects.</w:t>
      </w:r>
    </w:p>
    <w:p>
      <w:r>
        <w:rPr>
          <w:b/>
          <w:color w:val="4F81BD"/>
          <w:sz w:val="25"/>
        </w:rPr>
        <w:t>8.1   What it changes</w:t>
      </w:r>
    </w:p>
    <w:p>
      <w:pPr>
        <w:pStyle w:val="ListBullet"/>
      </w:pPr>
      <w:r>
        <w:rPr>
          <w:b/>
          <w:sz w:val="21"/>
        </w:rPr>
        <w:t xml:space="preserve">Compute model. </w:t>
      </w:r>
      <w:r>
        <w:rPr>
          <w:sz w:val="21"/>
        </w:rPr>
        <w:t>The per-repair Claude call (indicatively ~$0.05–0.10 each) is replaced by inference on an always-on GPU machine — a fixed monthly cost regardless of repair volume.</w:t>
      </w:r>
    </w:p>
    <w:p>
      <w:pPr>
        <w:pStyle w:val="ListBullet"/>
      </w:pPr>
      <w:r>
        <w:rPr>
          <w:b/>
          <w:sz w:val="21"/>
        </w:rPr>
        <w:t xml:space="preserve">GraphRAG. </w:t>
      </w:r>
      <w:r>
        <w:rPr>
          <w:sz w:val="21"/>
        </w:rPr>
        <w:t>Microsoft GraphRAG adds a one-time (and incremental) graph-indexing pass over the code and documents. The indexing itself runs on the same GPU (no external token cost) but consumes GPU hours; re-index incrementally as the code changes.</w:t>
      </w:r>
    </w:p>
    <w:p>
      <w:pPr>
        <w:pStyle w:val="ListBullet"/>
      </w:pPr>
      <w:r>
        <w:rPr>
          <w:b/>
          <w:sz w:val="21"/>
        </w:rPr>
        <w:t xml:space="preserve">Shared. </w:t>
      </w:r>
      <w:r>
        <w:rPr>
          <w:sz w:val="21"/>
        </w:rPr>
        <w:t>One GPU machine serves Auto-Repair for all applications and customers — it is a shared platform service, not a per-application cost.</w:t>
      </w:r>
    </w:p>
    <w:p>
      <w:r>
        <w:rPr>
          <w:b/>
          <w:color w:val="4F81BD"/>
          <w:sz w:val="25"/>
        </w:rPr>
        <w:t>8.2   Indicative GPU machine cost (Google Cloud, 24×7)</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160"/>
            <w:shd w:val="clear" w:color="auto" w:fill="E7EEF6"/>
          </w:tcPr>
          <w:p>
            <w:r>
              <w:rPr>
                <w:b/>
                <w:color w:val="17365D"/>
                <w:sz w:val="19"/>
              </w:rPr>
              <w:t>GPU machine</w:t>
            </w:r>
          </w:p>
        </w:tc>
        <w:tc>
          <w:tcPr>
            <w:tcW w:type="dxa" w:w="3888"/>
            <w:shd w:val="clear" w:color="auto" w:fill="E7EEF6"/>
          </w:tcPr>
          <w:p>
            <w:r>
              <w:rPr>
                <w:b/>
                <w:color w:val="17365D"/>
                <w:sz w:val="19"/>
              </w:rPr>
              <w:t>Suitable for</w:t>
            </w:r>
          </w:p>
        </w:tc>
        <w:tc>
          <w:tcPr>
            <w:tcW w:type="dxa" w:w="1728"/>
            <w:shd w:val="clear" w:color="auto" w:fill="E7EEF6"/>
          </w:tcPr>
          <w:p>
            <w:r>
              <w:rPr>
                <w:b/>
                <w:color w:val="17365D"/>
                <w:sz w:val="19"/>
              </w:rPr>
              <w:t>On-demand / mo</w:t>
            </w:r>
          </w:p>
        </w:tc>
        <w:tc>
          <w:tcPr>
            <w:tcW w:type="dxa" w:w="1584"/>
            <w:shd w:val="clear" w:color="auto" w:fill="E7EEF6"/>
          </w:tcPr>
          <w:p>
            <w:r>
              <w:rPr>
                <w:b/>
                <w:color w:val="17365D"/>
                <w:sz w:val="19"/>
              </w:rPr>
              <w:t>1-yr commit</w:t>
            </w:r>
          </w:p>
        </w:tc>
        <w:tc>
          <w:tcPr>
            <w:tcW w:type="dxa" w:w="1440"/>
            <w:shd w:val="clear" w:color="auto" w:fill="E7EEF6"/>
          </w:tcPr>
          <w:p>
            <w:r>
              <w:rPr>
                <w:b/>
                <w:color w:val="17365D"/>
                <w:sz w:val="19"/>
              </w:rPr>
              <w:t>Spot</w:t>
            </w:r>
          </w:p>
        </w:tc>
      </w:tr>
      <w:tr>
        <w:tc>
          <w:tcPr>
            <w:tcW w:type="dxa" w:w="2160"/>
          </w:tcPr>
          <w:p>
            <w:r>
              <w:rPr>
                <w:b/>
                <w:sz w:val="19"/>
              </w:rPr>
              <w:t>1× L4 (24 GB)</w:t>
            </w:r>
          </w:p>
        </w:tc>
        <w:tc>
          <w:tcPr>
            <w:tcW w:type="dxa" w:w="3888"/>
          </w:tcPr>
          <w:p>
            <w:r>
              <w:rPr>
                <w:sz w:val="19"/>
              </w:rPr>
              <w:t>Small / quantized models only (marginal for Llama 4)</w:t>
            </w:r>
          </w:p>
        </w:tc>
        <w:tc>
          <w:tcPr>
            <w:tcW w:type="dxa" w:w="1728"/>
          </w:tcPr>
          <w:p>
            <w:r>
              <w:rPr>
                <w:sz w:val="19"/>
              </w:rPr>
              <w:t>~$650</w:t>
            </w:r>
          </w:p>
        </w:tc>
        <w:tc>
          <w:tcPr>
            <w:tcW w:type="dxa" w:w="1584"/>
          </w:tcPr>
          <w:p>
            <w:r>
              <w:rPr>
                <w:sz w:val="19"/>
              </w:rPr>
              <w:t>~$410</w:t>
            </w:r>
          </w:p>
        </w:tc>
        <w:tc>
          <w:tcPr>
            <w:tcW w:type="dxa" w:w="1440"/>
          </w:tcPr>
          <w:p>
            <w:r>
              <w:rPr>
                <w:sz w:val="19"/>
              </w:rPr>
              <w:t>~$200–260</w:t>
            </w:r>
          </w:p>
        </w:tc>
      </w:tr>
      <w:tr>
        <w:tc>
          <w:tcPr>
            <w:tcW w:type="dxa" w:w="2160"/>
            <w:shd w:val="clear" w:color="auto" w:fill="F3F7FB"/>
          </w:tcPr>
          <w:p>
            <w:r>
              <w:rPr>
                <w:b/>
                <w:sz w:val="19"/>
              </w:rPr>
              <w:t>1× A100 (80 GB)</w:t>
            </w:r>
          </w:p>
        </w:tc>
        <w:tc>
          <w:tcPr>
            <w:tcW w:type="dxa" w:w="3888"/>
            <w:shd w:val="clear" w:color="auto" w:fill="F3F7FB"/>
          </w:tcPr>
          <w:p>
            <w:r>
              <w:rPr>
                <w:sz w:val="19"/>
              </w:rPr>
              <w:t>Llama 4 Scout (quantized), lower throughput</w:t>
            </w:r>
          </w:p>
        </w:tc>
        <w:tc>
          <w:tcPr>
            <w:tcW w:type="dxa" w:w="1728"/>
            <w:shd w:val="clear" w:color="auto" w:fill="F3F7FB"/>
          </w:tcPr>
          <w:p>
            <w:r>
              <w:rPr>
                <w:sz w:val="19"/>
              </w:rPr>
              <w:t>~$3,700</w:t>
            </w:r>
          </w:p>
        </w:tc>
        <w:tc>
          <w:tcPr>
            <w:tcW w:type="dxa" w:w="1584"/>
            <w:shd w:val="clear" w:color="auto" w:fill="F3F7FB"/>
          </w:tcPr>
          <w:p>
            <w:r>
              <w:rPr>
                <w:sz w:val="19"/>
              </w:rPr>
              <w:t>~$2,300</w:t>
            </w:r>
          </w:p>
        </w:tc>
        <w:tc>
          <w:tcPr>
            <w:tcW w:type="dxa" w:w="1440"/>
            <w:shd w:val="clear" w:color="auto" w:fill="F3F7FB"/>
          </w:tcPr>
          <w:p>
            <w:r>
              <w:rPr>
                <w:sz w:val="19"/>
              </w:rPr>
              <w:t>~$1,100–1,500</w:t>
            </w:r>
          </w:p>
        </w:tc>
      </w:tr>
      <w:tr>
        <w:tc>
          <w:tcPr>
            <w:tcW w:type="dxa" w:w="2160"/>
          </w:tcPr>
          <w:p>
            <w:r>
              <w:rPr>
                <w:b/>
                <w:sz w:val="19"/>
              </w:rPr>
              <w:t>1× H100 (80 GB)</w:t>
            </w:r>
          </w:p>
        </w:tc>
        <w:tc>
          <w:tcPr>
            <w:tcW w:type="dxa" w:w="3888"/>
          </w:tcPr>
          <w:p>
            <w:r>
              <w:rPr>
                <w:sz w:val="19"/>
              </w:rPr>
              <w:t>Llama 4 Scout (recommended)</w:t>
            </w:r>
          </w:p>
        </w:tc>
        <w:tc>
          <w:tcPr>
            <w:tcW w:type="dxa" w:w="1728"/>
          </w:tcPr>
          <w:p>
            <w:r>
              <w:rPr>
                <w:sz w:val="19"/>
              </w:rPr>
              <w:t>~$8,000</w:t>
            </w:r>
          </w:p>
        </w:tc>
        <w:tc>
          <w:tcPr>
            <w:tcW w:type="dxa" w:w="1584"/>
          </w:tcPr>
          <w:p>
            <w:r>
              <w:rPr>
                <w:sz w:val="19"/>
              </w:rPr>
              <w:t>~$5,000</w:t>
            </w:r>
          </w:p>
        </w:tc>
        <w:tc>
          <w:tcPr>
            <w:tcW w:type="dxa" w:w="1440"/>
          </w:tcPr>
          <w:p>
            <w:r>
              <w:rPr>
                <w:sz w:val="19"/>
              </w:rPr>
              <w:t>~$2,500–3,200</w:t>
            </w:r>
          </w:p>
        </w:tc>
      </w:tr>
      <w:tr>
        <w:tc>
          <w:tcPr>
            <w:tcW w:type="dxa" w:w="2160"/>
            <w:shd w:val="clear" w:color="auto" w:fill="F3F7FB"/>
          </w:tcPr>
          <w:p>
            <w:r>
              <w:rPr>
                <w:b/>
                <w:sz w:val="19"/>
              </w:rPr>
              <w:t>8× H100 (640 GB)</w:t>
            </w:r>
          </w:p>
        </w:tc>
        <w:tc>
          <w:tcPr>
            <w:tcW w:type="dxa" w:w="3888"/>
            <w:shd w:val="clear" w:color="auto" w:fill="F3F7FB"/>
          </w:tcPr>
          <w:p>
            <w:r>
              <w:rPr>
                <w:sz w:val="19"/>
              </w:rPr>
              <w:t>Llama 4 Maverick (full, largest models)</w:t>
            </w:r>
          </w:p>
        </w:tc>
        <w:tc>
          <w:tcPr>
            <w:tcW w:type="dxa" w:w="1728"/>
            <w:shd w:val="clear" w:color="auto" w:fill="F3F7FB"/>
          </w:tcPr>
          <w:p>
            <w:r>
              <w:rPr>
                <w:sz w:val="19"/>
              </w:rPr>
              <w:t>~$64,000</w:t>
            </w:r>
          </w:p>
        </w:tc>
        <w:tc>
          <w:tcPr>
            <w:tcW w:type="dxa" w:w="1584"/>
            <w:shd w:val="clear" w:color="auto" w:fill="F3F7FB"/>
          </w:tcPr>
          <w:p>
            <w:r>
              <w:rPr>
                <w:sz w:val="19"/>
              </w:rPr>
              <w:t>~$40,000</w:t>
            </w:r>
          </w:p>
        </w:tc>
        <w:tc>
          <w:tcPr>
            <w:tcW w:type="dxa" w:w="1440"/>
            <w:shd w:val="clear" w:color="auto" w:fill="F3F7FB"/>
          </w:tcPr>
          <w:p>
            <w:r>
              <w:rPr>
                <w:sz w:val="19"/>
              </w:rPr>
              <w:t>~$20,000+</w:t>
            </w:r>
          </w:p>
        </w:tc>
      </w:tr>
    </w:tbl>
    <w:p/>
    <w:p>
      <w:pPr>
        <w:shd w:val="clear" w:color="auto" w:fill="F1F6F1"/>
      </w:pPr>
      <w:r>
        <w:rPr>
          <w:i/>
          <w:color w:val="1E7A3C"/>
          <w:sz w:val="20"/>
        </w:rPr>
        <w:t>This is a data-sovereignty and control choice, not a cost saving. At typical repair volumes the managed Claude path costs a few dollars a month, whereas an always-on GPU machine starts around $650/month (L4) and is ~$2,500–5,000/month for a Llama 4-class model on an H100. Choose it when code must never leave the environment, when repair volume is very high, or when heavy GraphRAG indexing is required; otherwise the managed model is far more economical.</w:t>
      </w:r>
    </w:p>
    <w:p>
      <w:r>
        <w:rPr>
          <w:i/>
          <w:color w:val="707070"/>
          <w:sz w:val="21"/>
        </w:rPr>
        <w:t>Note: extending self-hosted models beyond Auto-Repair to the visual discovery stage is possible (Llama 4 is multimodal) but the visual-understanding stage is the most demanding and is validated per customer with an accuracy benchmark before adoption.</w:t>
      </w:r>
    </w:p>
    <w:p>
      <w:pPr>
        <w:pBdr>
          <w:bottom w:val="single" w:sz="6" w:space="2" w:color="9DB8D2"/>
        </w:pBdr>
      </w:pPr>
      <w:r>
        <w:rPr>
          <w:b/>
          <w:color w:val="365F91"/>
          <w:sz w:val="30"/>
        </w:rPr>
        <w:t>9   Operating Expense (OpEx) vs. Capital Expenditure (CapEx)</w:t>
      </w:r>
    </w:p>
    <w:p>
      <w:r>
        <w:rPr>
          <w:i w:val="0"/>
          <w:color w:val="303030"/>
          <w:sz w:val="21"/>
        </w:rPr>
        <w:t>On a cloud deployment there is no traditional hardware capital expenditure — nothing is purchased and depreciated. Costs split as follows. (Many finance teams book all cloud usage as OpEx; the CapEx column captures the one-time and committed items that are commonly capitalised.)</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736"/>
            <w:shd w:val="clear" w:color="auto" w:fill="E7EEF6"/>
          </w:tcPr>
          <w:p>
            <w:r>
              <w:rPr>
                <w:b/>
                <w:color w:val="17365D"/>
                <w:sz w:val="19"/>
              </w:rPr>
              <w:t>Category</w:t>
            </w:r>
          </w:p>
        </w:tc>
        <w:tc>
          <w:tcPr>
            <w:tcW w:type="dxa" w:w="3312"/>
            <w:shd w:val="clear" w:color="auto" w:fill="E7EEF6"/>
          </w:tcPr>
          <w:p>
            <w:r>
              <w:rPr>
                <w:b/>
                <w:color w:val="17365D"/>
                <w:sz w:val="19"/>
              </w:rPr>
              <w:t>Nature</w:t>
            </w:r>
          </w:p>
        </w:tc>
        <w:tc>
          <w:tcPr>
            <w:tcW w:type="dxa" w:w="3312"/>
            <w:shd w:val="clear" w:color="auto" w:fill="E7EEF6"/>
          </w:tcPr>
          <w:p>
            <w:r>
              <w:rPr>
                <w:b/>
                <w:color w:val="17365D"/>
                <w:sz w:val="19"/>
              </w:rPr>
              <w:t>Items</w:t>
            </w:r>
          </w:p>
        </w:tc>
      </w:tr>
      <w:tr>
        <w:tc>
          <w:tcPr>
            <w:tcW w:type="dxa" w:w="2736"/>
          </w:tcPr>
          <w:p>
            <w:r>
              <w:rPr>
                <w:b/>
                <w:sz w:val="19"/>
              </w:rPr>
              <w:t>OpEx (recurring, usage-based)</w:t>
            </w:r>
          </w:p>
        </w:tc>
        <w:tc>
          <w:tcPr>
            <w:tcW w:type="dxa" w:w="3312"/>
          </w:tcPr>
          <w:p>
            <w:r>
              <w:rPr>
                <w:sz w:val="19"/>
              </w:rPr>
              <w:t>Billed monthly; scales with usage, drops to a floor when idle.</w:t>
            </w:r>
          </w:p>
        </w:tc>
        <w:tc>
          <w:tcPr>
            <w:tcW w:type="dxa" w:w="3312"/>
          </w:tcPr>
          <w:p>
            <w:r>
              <w:rPr>
                <w:sz w:val="19"/>
              </w:rPr>
              <w:t>Compute (VM or GKE nodes, and any GPU machine), persistent disk, Cloud SQL, Memorystore, Cloud Storage, load balancer, egress, Cloud Operations, support, and AI usage (Claude).</w:t>
            </w:r>
          </w:p>
        </w:tc>
      </w:tr>
      <w:tr>
        <w:tc>
          <w:tcPr>
            <w:tcW w:type="dxa" w:w="2736"/>
            <w:shd w:val="clear" w:color="auto" w:fill="F3F7FB"/>
          </w:tcPr>
          <w:p>
            <w:r>
              <w:rPr>
                <w:b/>
                <w:sz w:val="19"/>
              </w:rPr>
              <w:t>CapEx / one-time / committed</w:t>
            </w:r>
          </w:p>
        </w:tc>
        <w:tc>
          <w:tcPr>
            <w:tcW w:type="dxa" w:w="3312"/>
            <w:shd w:val="clear" w:color="auto" w:fill="F3F7FB"/>
          </w:tcPr>
          <w:p>
            <w:r>
              <w:rPr>
                <w:sz w:val="19"/>
              </w:rPr>
              <w:t>One-off or contractually committed; capital-like.</w:t>
            </w:r>
          </w:p>
        </w:tc>
        <w:tc>
          <w:tcPr>
            <w:tcW w:type="dxa" w:w="3312"/>
            <w:shd w:val="clear" w:color="auto" w:fill="F3F7FB"/>
          </w:tcPr>
          <w:p>
            <w:r>
              <w:rPr>
                <w:sz w:val="19"/>
              </w:rPr>
              <w:t>One-time onboarding &amp; implementation (discovery + initial planning + environment setup); committed-use commitments (1- or 3-year); optional GPU reservation for the self-hosted-model option.</w:t>
            </w:r>
          </w:p>
        </w:tc>
      </w:tr>
    </w:tbl>
    <w:p/>
    <w:p>
      <w:r>
        <w:rPr>
          <w:b/>
          <w:color w:val="4F81BD"/>
          <w:sz w:val="25"/>
        </w:rPr>
        <w:t>9.1   Scenario A — single tenant, one large complex application (per month)</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4896"/>
            <w:shd w:val="clear" w:color="auto" w:fill="E7EEF6"/>
          </w:tcPr>
          <w:p>
            <w:r>
              <w:rPr>
                <w:b/>
                <w:color w:val="17365D"/>
                <w:sz w:val="19"/>
              </w:rPr>
              <w:t>Item</w:t>
            </w:r>
          </w:p>
        </w:tc>
        <w:tc>
          <w:tcPr>
            <w:tcW w:type="dxa" w:w="2448"/>
            <w:shd w:val="clear" w:color="auto" w:fill="E7EEF6"/>
          </w:tcPr>
          <w:p>
            <w:r>
              <w:rPr>
                <w:b/>
                <w:color w:val="17365D"/>
                <w:sz w:val="19"/>
              </w:rPr>
              <w:t>OpEx / mo</w:t>
            </w:r>
          </w:p>
        </w:tc>
        <w:tc>
          <w:tcPr>
            <w:tcW w:type="dxa" w:w="2016"/>
            <w:shd w:val="clear" w:color="auto" w:fill="E7EEF6"/>
          </w:tcPr>
          <w:p>
            <w:r>
              <w:rPr>
                <w:b/>
                <w:color w:val="17365D"/>
                <w:sz w:val="19"/>
              </w:rPr>
              <w:t>CapEx (one-time)</w:t>
            </w:r>
          </w:p>
        </w:tc>
      </w:tr>
      <w:tr>
        <w:tc>
          <w:tcPr>
            <w:tcW w:type="dxa" w:w="4896"/>
          </w:tcPr>
          <w:p>
            <w:r>
              <w:rPr>
                <w:b/>
                <w:sz w:val="19"/>
              </w:rPr>
              <w:t>Compute Engine VM + disk + IP</w:t>
            </w:r>
          </w:p>
        </w:tc>
        <w:tc>
          <w:tcPr>
            <w:tcW w:type="dxa" w:w="2448"/>
          </w:tcPr>
          <w:p>
            <w:r>
              <w:rPr>
                <w:sz w:val="19"/>
              </w:rPr>
              <w:t>~$107</w:t>
            </w:r>
          </w:p>
        </w:tc>
        <w:tc>
          <w:tcPr>
            <w:tcW w:type="dxa" w:w="2016"/>
          </w:tcPr>
          <w:p>
            <w:r>
              <w:rPr>
                <w:sz w:val="19"/>
              </w:rPr>
              <w:t>—</w:t>
            </w:r>
          </w:p>
        </w:tc>
      </w:tr>
      <w:tr>
        <w:tc>
          <w:tcPr>
            <w:tcW w:type="dxa" w:w="4896"/>
            <w:shd w:val="clear" w:color="auto" w:fill="F3F7FB"/>
          </w:tcPr>
          <w:p>
            <w:r>
              <w:rPr>
                <w:b/>
                <w:sz w:val="19"/>
              </w:rPr>
              <w:t>Egress + Artifact Registry</w:t>
            </w:r>
          </w:p>
        </w:tc>
        <w:tc>
          <w:tcPr>
            <w:tcW w:type="dxa" w:w="2448"/>
            <w:shd w:val="clear" w:color="auto" w:fill="F3F7FB"/>
          </w:tcPr>
          <w:p>
            <w:r>
              <w:rPr>
                <w:sz w:val="19"/>
              </w:rPr>
              <w:t>~$3–6</w:t>
            </w:r>
          </w:p>
        </w:tc>
        <w:tc>
          <w:tcPr>
            <w:tcW w:type="dxa" w:w="2016"/>
            <w:shd w:val="clear" w:color="auto" w:fill="F3F7FB"/>
          </w:tcPr>
          <w:p>
            <w:r>
              <w:rPr>
                <w:sz w:val="19"/>
              </w:rPr>
              <w:t>—</w:t>
            </w:r>
          </w:p>
        </w:tc>
      </w:tr>
      <w:tr>
        <w:tc>
          <w:tcPr>
            <w:tcW w:type="dxa" w:w="4896"/>
          </w:tcPr>
          <w:p>
            <w:r>
              <w:rPr>
                <w:b/>
                <w:sz w:val="19"/>
              </w:rPr>
              <w:t>AI usage (Claude)</w:t>
            </w:r>
          </w:p>
        </w:tc>
        <w:tc>
          <w:tcPr>
            <w:tcW w:type="dxa" w:w="2448"/>
          </w:tcPr>
          <w:p>
            <w:r>
              <w:rPr>
                <w:sz w:val="19"/>
              </w:rPr>
              <w:t>~$40–80</w:t>
            </w:r>
          </w:p>
        </w:tc>
        <w:tc>
          <w:tcPr>
            <w:tcW w:type="dxa" w:w="2016"/>
          </w:tcPr>
          <w:p>
            <w:r>
              <w:rPr>
                <w:sz w:val="19"/>
              </w:rPr>
              <w:t>—</w:t>
            </w:r>
          </w:p>
        </w:tc>
      </w:tr>
      <w:tr>
        <w:tc>
          <w:tcPr>
            <w:tcW w:type="dxa" w:w="4896"/>
            <w:shd w:val="clear" w:color="auto" w:fill="F3F7FB"/>
          </w:tcPr>
          <w:p>
            <w:r>
              <w:rPr>
                <w:b/>
                <w:sz w:val="19"/>
              </w:rPr>
              <w:t>One-time onboarding (discovery + planning + setup)</w:t>
            </w:r>
          </w:p>
        </w:tc>
        <w:tc>
          <w:tcPr>
            <w:tcW w:type="dxa" w:w="2448"/>
            <w:shd w:val="clear" w:color="auto" w:fill="F3F7FB"/>
          </w:tcPr>
          <w:p>
            <w:r>
              <w:rPr>
                <w:sz w:val="19"/>
              </w:rPr>
              <w:t>—</w:t>
            </w:r>
          </w:p>
        </w:tc>
        <w:tc>
          <w:tcPr>
            <w:tcW w:type="dxa" w:w="2016"/>
            <w:shd w:val="clear" w:color="auto" w:fill="F3F7FB"/>
          </w:tcPr>
          <w:p>
            <w:r>
              <w:rPr>
                <w:sz w:val="19"/>
              </w:rPr>
              <w:t>~$50–110</w:t>
            </w:r>
          </w:p>
        </w:tc>
      </w:tr>
      <w:tr>
        <w:tc>
          <w:tcPr>
            <w:tcW w:type="dxa" w:w="4896"/>
          </w:tcPr>
          <w:p>
            <w:r>
              <w:rPr>
                <w:b/>
                <w:sz w:val="19"/>
              </w:rPr>
              <w:t>Committed-use discount (optional, 1–3 yr)</w:t>
            </w:r>
          </w:p>
        </w:tc>
        <w:tc>
          <w:tcPr>
            <w:tcW w:type="dxa" w:w="2448"/>
          </w:tcPr>
          <w:p>
            <w:r>
              <w:rPr>
                <w:sz w:val="19"/>
              </w:rPr>
              <w:t>reduces infra ~25–55%</w:t>
            </w:r>
          </w:p>
        </w:tc>
        <w:tc>
          <w:tcPr>
            <w:tcW w:type="dxa" w:w="2016"/>
          </w:tcPr>
          <w:p>
            <w:r>
              <w:rPr>
                <w:sz w:val="19"/>
              </w:rPr>
              <w:t>commitment</w:t>
            </w:r>
          </w:p>
        </w:tc>
      </w:tr>
      <w:tr>
        <w:tc>
          <w:tcPr>
            <w:tcW w:type="dxa" w:w="4896"/>
            <w:shd w:val="clear" w:color="auto" w:fill="E4ECF6"/>
          </w:tcPr>
          <w:p>
            <w:r>
              <w:rPr>
                <w:b/>
                <w:sz w:val="19"/>
              </w:rPr>
              <w:t>Total</w:t>
            </w:r>
          </w:p>
        </w:tc>
        <w:tc>
          <w:tcPr>
            <w:tcW w:type="dxa" w:w="2448"/>
            <w:shd w:val="clear" w:color="auto" w:fill="E4ECF6"/>
          </w:tcPr>
          <w:p>
            <w:r>
              <w:rPr>
                <w:b/>
                <w:sz w:val="19"/>
              </w:rPr>
              <w:t>~$150–190 / mo</w:t>
            </w:r>
          </w:p>
        </w:tc>
        <w:tc>
          <w:tcPr>
            <w:tcW w:type="dxa" w:w="2016"/>
            <w:shd w:val="clear" w:color="auto" w:fill="E4ECF6"/>
          </w:tcPr>
          <w:p>
            <w:r>
              <w:rPr>
                <w:b/>
                <w:sz w:val="19"/>
              </w:rPr>
              <w:t>~$50–110 one-time</w:t>
            </w:r>
          </w:p>
        </w:tc>
      </w:tr>
    </w:tbl>
    <w:p/>
    <w:p>
      <w:r>
        <w:rPr>
          <w:b/>
          <w:color w:val="4F81BD"/>
          <w:sz w:val="25"/>
        </w:rPr>
        <w:t>9.2   Scenario B — multi-tenant, 50 applications / 10 customers (per month)</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4896"/>
            <w:shd w:val="clear" w:color="auto" w:fill="E7EEF6"/>
          </w:tcPr>
          <w:p>
            <w:r>
              <w:rPr>
                <w:b/>
                <w:color w:val="17365D"/>
                <w:sz w:val="19"/>
              </w:rPr>
              <w:t>Item</w:t>
            </w:r>
          </w:p>
        </w:tc>
        <w:tc>
          <w:tcPr>
            <w:tcW w:type="dxa" w:w="2448"/>
            <w:shd w:val="clear" w:color="auto" w:fill="E7EEF6"/>
          </w:tcPr>
          <w:p>
            <w:r>
              <w:rPr>
                <w:b/>
                <w:color w:val="17365D"/>
                <w:sz w:val="19"/>
              </w:rPr>
              <w:t>OpEx / mo</w:t>
            </w:r>
          </w:p>
        </w:tc>
        <w:tc>
          <w:tcPr>
            <w:tcW w:type="dxa" w:w="2016"/>
            <w:shd w:val="clear" w:color="auto" w:fill="E7EEF6"/>
          </w:tcPr>
          <w:p>
            <w:r>
              <w:rPr>
                <w:b/>
                <w:color w:val="17365D"/>
                <w:sz w:val="19"/>
              </w:rPr>
              <w:t>CapEx (one-time)</w:t>
            </w:r>
          </w:p>
        </w:tc>
      </w:tr>
      <w:tr>
        <w:tc>
          <w:tcPr>
            <w:tcW w:type="dxa" w:w="4896"/>
          </w:tcPr>
          <w:p>
            <w:r>
              <w:rPr>
                <w:b/>
                <w:sz w:val="19"/>
              </w:rPr>
              <w:t>GKE management + node pool</w:t>
            </w:r>
          </w:p>
        </w:tc>
        <w:tc>
          <w:tcPr>
            <w:tcW w:type="dxa" w:w="2448"/>
          </w:tcPr>
          <w:p>
            <w:r>
              <w:rPr>
                <w:sz w:val="19"/>
              </w:rPr>
              <w:t>~$367</w:t>
            </w:r>
          </w:p>
        </w:tc>
        <w:tc>
          <w:tcPr>
            <w:tcW w:type="dxa" w:w="2016"/>
          </w:tcPr>
          <w:p>
            <w:r>
              <w:rPr>
                <w:sz w:val="19"/>
              </w:rPr>
              <w:t>—</w:t>
            </w:r>
          </w:p>
        </w:tc>
      </w:tr>
      <w:tr>
        <w:tc>
          <w:tcPr>
            <w:tcW w:type="dxa" w:w="4896"/>
            <w:shd w:val="clear" w:color="auto" w:fill="F3F7FB"/>
          </w:tcPr>
          <w:p>
            <w:r>
              <w:rPr>
                <w:b/>
                <w:sz w:val="19"/>
              </w:rPr>
              <w:t>Cloud SQL + Memorystore + Cloud Storage</w:t>
            </w:r>
          </w:p>
        </w:tc>
        <w:tc>
          <w:tcPr>
            <w:tcW w:type="dxa" w:w="2448"/>
            <w:shd w:val="clear" w:color="auto" w:fill="F3F7FB"/>
          </w:tcPr>
          <w:p>
            <w:r>
              <w:rPr>
                <w:sz w:val="19"/>
              </w:rPr>
              <w:t>~$156–195</w:t>
            </w:r>
          </w:p>
        </w:tc>
        <w:tc>
          <w:tcPr>
            <w:tcW w:type="dxa" w:w="2016"/>
            <w:shd w:val="clear" w:color="auto" w:fill="F3F7FB"/>
          </w:tcPr>
          <w:p>
            <w:r>
              <w:rPr>
                <w:sz w:val="19"/>
              </w:rPr>
              <w:t>—</w:t>
            </w:r>
          </w:p>
        </w:tc>
      </w:tr>
      <w:tr>
        <w:tc>
          <w:tcPr>
            <w:tcW w:type="dxa" w:w="4896"/>
          </w:tcPr>
          <w:p>
            <w:r>
              <w:rPr>
                <w:b/>
                <w:sz w:val="19"/>
              </w:rPr>
              <w:t>Load balancer + Cloud Operations + egress</w:t>
            </w:r>
          </w:p>
        </w:tc>
        <w:tc>
          <w:tcPr>
            <w:tcW w:type="dxa" w:w="2448"/>
          </w:tcPr>
          <w:p>
            <w:r>
              <w:rPr>
                <w:sz w:val="19"/>
              </w:rPr>
              <w:t>~$38–55</w:t>
            </w:r>
          </w:p>
        </w:tc>
        <w:tc>
          <w:tcPr>
            <w:tcW w:type="dxa" w:w="2016"/>
          </w:tcPr>
          <w:p>
            <w:r>
              <w:rPr>
                <w:sz w:val="19"/>
              </w:rPr>
              <w:t>—</w:t>
            </w:r>
          </w:p>
        </w:tc>
      </w:tr>
      <w:tr>
        <w:tc>
          <w:tcPr>
            <w:tcW w:type="dxa" w:w="4896"/>
            <w:shd w:val="clear" w:color="auto" w:fill="F3F7FB"/>
          </w:tcPr>
          <w:p>
            <w:r>
              <w:rPr>
                <w:b/>
                <w:sz w:val="19"/>
              </w:rPr>
              <w:t>AI usage (Claude, 50 apps)</w:t>
            </w:r>
          </w:p>
        </w:tc>
        <w:tc>
          <w:tcPr>
            <w:tcW w:type="dxa" w:w="2448"/>
            <w:shd w:val="clear" w:color="auto" w:fill="F3F7FB"/>
          </w:tcPr>
          <w:p>
            <w:r>
              <w:rPr>
                <w:sz w:val="19"/>
              </w:rPr>
              <w:t>~$1,250–2,000</w:t>
            </w:r>
          </w:p>
        </w:tc>
        <w:tc>
          <w:tcPr>
            <w:tcW w:type="dxa" w:w="2016"/>
            <w:shd w:val="clear" w:color="auto" w:fill="F3F7FB"/>
          </w:tcPr>
          <w:p>
            <w:r>
              <w:rPr>
                <w:sz w:val="19"/>
              </w:rPr>
              <w:t>—</w:t>
            </w:r>
          </w:p>
        </w:tc>
      </w:tr>
      <w:tr>
        <w:tc>
          <w:tcPr>
            <w:tcW w:type="dxa" w:w="4896"/>
          </w:tcPr>
          <w:p>
            <w:r>
              <w:rPr>
                <w:b/>
                <w:sz w:val="19"/>
              </w:rPr>
              <w:t>One-time onboarding (50 apps)</w:t>
            </w:r>
          </w:p>
        </w:tc>
        <w:tc>
          <w:tcPr>
            <w:tcW w:type="dxa" w:w="2448"/>
          </w:tcPr>
          <w:p>
            <w:r>
              <w:rPr>
                <w:sz w:val="19"/>
              </w:rPr>
              <w:t>—</w:t>
            </w:r>
          </w:p>
        </w:tc>
        <w:tc>
          <w:tcPr>
            <w:tcW w:type="dxa" w:w="2016"/>
          </w:tcPr>
          <w:p>
            <w:r>
              <w:rPr>
                <w:sz w:val="19"/>
              </w:rPr>
              <w:t>~$250–1,500</w:t>
            </w:r>
          </w:p>
        </w:tc>
      </w:tr>
      <w:tr>
        <w:tc>
          <w:tcPr>
            <w:tcW w:type="dxa" w:w="4896"/>
            <w:shd w:val="clear" w:color="auto" w:fill="F3F7FB"/>
          </w:tcPr>
          <w:p>
            <w:r>
              <w:rPr>
                <w:b/>
                <w:sz w:val="19"/>
              </w:rPr>
              <w:t>Committed-use discount (optional, 1–3 yr)</w:t>
            </w:r>
          </w:p>
        </w:tc>
        <w:tc>
          <w:tcPr>
            <w:tcW w:type="dxa" w:w="2448"/>
            <w:shd w:val="clear" w:color="auto" w:fill="F3F7FB"/>
          </w:tcPr>
          <w:p>
            <w:r>
              <w:rPr>
                <w:sz w:val="19"/>
              </w:rPr>
              <w:t>reduces infra ~25–55%</w:t>
            </w:r>
          </w:p>
        </w:tc>
        <w:tc>
          <w:tcPr>
            <w:tcW w:type="dxa" w:w="2016"/>
            <w:shd w:val="clear" w:color="auto" w:fill="F3F7FB"/>
          </w:tcPr>
          <w:p>
            <w:r>
              <w:rPr>
                <w:sz w:val="19"/>
              </w:rPr>
              <w:t>commitment</w:t>
            </w:r>
          </w:p>
        </w:tc>
      </w:tr>
      <w:tr>
        <w:tc>
          <w:tcPr>
            <w:tcW w:type="dxa" w:w="4896"/>
            <w:shd w:val="clear" w:color="auto" w:fill="E4ECF6"/>
          </w:tcPr>
          <w:p>
            <w:r>
              <w:rPr>
                <w:b/>
                <w:sz w:val="19"/>
              </w:rPr>
              <w:t>Total</w:t>
            </w:r>
          </w:p>
        </w:tc>
        <w:tc>
          <w:tcPr>
            <w:tcW w:type="dxa" w:w="2448"/>
            <w:shd w:val="clear" w:color="auto" w:fill="E4ECF6"/>
          </w:tcPr>
          <w:p>
            <w:r>
              <w:rPr>
                <w:b/>
                <w:sz w:val="19"/>
              </w:rPr>
              <w:t>~$1,810–2,620 / mo</w:t>
            </w:r>
          </w:p>
        </w:tc>
        <w:tc>
          <w:tcPr>
            <w:tcW w:type="dxa" w:w="2016"/>
            <w:shd w:val="clear" w:color="auto" w:fill="E4ECF6"/>
          </w:tcPr>
          <w:p>
            <w:r>
              <w:rPr>
                <w:b/>
                <w:sz w:val="19"/>
              </w:rPr>
              <w:t>~$250–1,500 one-time</w:t>
            </w:r>
          </w:p>
        </w:tc>
      </w:tr>
    </w:tbl>
    <w:p/>
    <w:p>
      <w:pPr>
        <w:shd w:val="clear" w:color="auto" w:fill="F1F6F1"/>
      </w:pPr>
      <w:r>
        <w:rPr>
          <w:i/>
          <w:color w:val="1E7A3C"/>
          <w:sz w:val="20"/>
        </w:rPr>
        <w:t>Customer reading: a predictable monthly operating cost (compute + managed services + AI usage), a one-time onboarding per application that scales with application size, and an optional multi-year commitment that trades a capital-like commitment for 25–55% lower operating cost.</w:t>
      </w:r>
    </w:p>
    <w:p>
      <w:pPr>
        <w:pBdr>
          <w:bottom w:val="single" w:sz="6" w:space="2" w:color="9DB8D2"/>
        </w:pBdr>
      </w:pPr>
      <w:r>
        <w:rPr>
          <w:b/>
          <w:color w:val="365F91"/>
          <w:sz w:val="30"/>
        </w:rPr>
        <w:t>10   Notes, Assumptions &amp; Glossary</w:t>
      </w:r>
    </w:p>
    <w:p>
      <w:pPr>
        <w:pStyle w:val="ListBullet"/>
      </w:pPr>
      <w:r>
        <w:rPr>
          <w:sz w:val="21"/>
        </w:rPr>
        <w:t>All prices are indicative Google Cloud and Vertex AI list prices (us-central1, September 2026) and must be validated against live pricing and the target Region before quoting.</w:t>
      </w:r>
    </w:p>
    <w:p>
      <w:pPr>
        <w:pStyle w:val="ListBullet"/>
      </w:pPr>
      <w:r>
        <w:rPr>
          <w:sz w:val="21"/>
        </w:rPr>
        <w:t>Compute, database, cache and networking are assumed always-on, 24×7 (≈730 hours per month).</w:t>
      </w:r>
    </w:p>
    <w:p>
      <w:pPr>
        <w:pStyle w:val="ListBullet"/>
      </w:pPr>
      <w:r>
        <w:rPr>
          <w:sz w:val="21"/>
        </w:rPr>
        <w:t>Workload basis: ~20 screens and ~50 test cases for a compact application; larger profiles as tabled in Section 3.1. Suites run on business days; standard validation depth.</w:t>
      </w:r>
    </w:p>
    <w:p>
      <w:pPr>
        <w:pStyle w:val="ListBullet"/>
      </w:pPr>
      <w:r>
        <w:rPr>
          <w:sz w:val="21"/>
        </w:rPr>
        <w:t>Region, high-availability choices, peak concurrency (auto-scaling), data volumes and support tier all move the figures; the ranges above bracket the common cases.</w:t>
      </w:r>
    </w:p>
    <w:p>
      <w:pPr>
        <w:pStyle w:val="ListBullet"/>
      </w:pPr>
      <w:r>
        <w:rPr>
          <w:sz w:val="21"/>
        </w:rPr>
        <w:t>New Google Cloud accounts receive a one-time credit (typically $300) and always-free allowances that offset early pilot cost; not included above.</w:t>
      </w:r>
    </w:p>
    <w:tbl>
      <w:tblPr>
        <w:tblStyle w:val="TableGrid"/>
        <w:tblW w:type="auto" w:w="0"/>
        <w:jc w:val="center"/>
        <w:tblLayout w:type="fixed"/>
        <w:tblLook w:firstColumn="1" w:firstRow="1" w:lastColumn="0" w:lastRow="0" w:noHBand="0" w:noVBand="1" w:val="04A0"/>
      </w:tblPr>
      <w:tblGrid>
        <w:gridCol w:w="4320"/>
        <w:gridCol w:w="4320"/>
      </w:tblGrid>
      <w:tr>
        <w:tc>
          <w:tcPr>
            <w:tcW w:type="dxa" w:w="3168"/>
            <w:shd w:val="clear" w:color="auto" w:fill="E7EEF6"/>
          </w:tcPr>
          <w:p>
            <w:r>
              <w:rPr>
                <w:b/>
                <w:color w:val="17365D"/>
                <w:sz w:val="19"/>
              </w:rPr>
              <w:t>Term</w:t>
            </w:r>
          </w:p>
        </w:tc>
        <w:tc>
          <w:tcPr>
            <w:tcW w:type="dxa" w:w="6192"/>
            <w:shd w:val="clear" w:color="auto" w:fill="E7EEF6"/>
          </w:tcPr>
          <w:p>
            <w:r>
              <w:rPr>
                <w:b/>
                <w:color w:val="17365D"/>
                <w:sz w:val="19"/>
              </w:rPr>
              <w:t>Meaning</w:t>
            </w:r>
          </w:p>
        </w:tc>
      </w:tr>
      <w:tr>
        <w:tc>
          <w:tcPr>
            <w:tcW w:type="dxa" w:w="3168"/>
          </w:tcPr>
          <w:p>
            <w:r>
              <w:rPr>
                <w:b/>
                <w:sz w:val="19"/>
              </w:rPr>
              <w:t>OpEx</w:t>
            </w:r>
          </w:p>
        </w:tc>
        <w:tc>
          <w:tcPr>
            <w:tcW w:type="dxa" w:w="6192"/>
          </w:tcPr>
          <w:p>
            <w:r>
              <w:rPr>
                <w:sz w:val="19"/>
              </w:rPr>
              <w:t>Operating expenditure — recurring, usage-based cost booked as it is consumed.</w:t>
            </w:r>
          </w:p>
        </w:tc>
      </w:tr>
      <w:tr>
        <w:tc>
          <w:tcPr>
            <w:tcW w:type="dxa" w:w="3168"/>
            <w:shd w:val="clear" w:color="auto" w:fill="F3F7FB"/>
          </w:tcPr>
          <w:p>
            <w:r>
              <w:rPr>
                <w:b/>
                <w:sz w:val="19"/>
              </w:rPr>
              <w:t>CapEx</w:t>
            </w:r>
          </w:p>
        </w:tc>
        <w:tc>
          <w:tcPr>
            <w:tcW w:type="dxa" w:w="6192"/>
            <w:shd w:val="clear" w:color="auto" w:fill="F3F7FB"/>
          </w:tcPr>
          <w:p>
            <w:r>
              <w:rPr>
                <w:sz w:val="19"/>
              </w:rPr>
              <w:t>Capital expenditure — one-time or committed cost; in cloud, chiefly implementation and committed-use commitments.</w:t>
            </w:r>
          </w:p>
        </w:tc>
      </w:tr>
      <w:tr>
        <w:tc>
          <w:tcPr>
            <w:tcW w:type="dxa" w:w="3168"/>
          </w:tcPr>
          <w:p>
            <w:r>
              <w:rPr>
                <w:b/>
                <w:sz w:val="19"/>
              </w:rPr>
              <w:t>Compute Engine</w:t>
            </w:r>
          </w:p>
        </w:tc>
        <w:tc>
          <w:tcPr>
            <w:tcW w:type="dxa" w:w="6192"/>
          </w:tcPr>
          <w:p>
            <w:r>
              <w:rPr>
                <w:sz w:val="19"/>
              </w:rPr>
              <w:t>Google Cloud virtual machines — the single-VM deployment shape (Scenario A).</w:t>
            </w:r>
          </w:p>
        </w:tc>
      </w:tr>
      <w:tr>
        <w:tc>
          <w:tcPr>
            <w:tcW w:type="dxa" w:w="3168"/>
            <w:shd w:val="clear" w:color="auto" w:fill="F3F7FB"/>
          </w:tcPr>
          <w:p>
            <w:r>
              <w:rPr>
                <w:b/>
                <w:sz w:val="19"/>
              </w:rPr>
              <w:t>GKE</w:t>
            </w:r>
          </w:p>
        </w:tc>
        <w:tc>
          <w:tcPr>
            <w:tcW w:type="dxa" w:w="6192"/>
            <w:shd w:val="clear" w:color="auto" w:fill="F3F7FB"/>
          </w:tcPr>
          <w:p>
            <w:r>
              <w:rPr>
                <w:sz w:val="19"/>
              </w:rPr>
              <w:t>Google Kubernetes Engine — managed Kubernetes; runs and auto-scales the containers (Scenario B).</w:t>
            </w:r>
          </w:p>
        </w:tc>
      </w:tr>
      <w:tr>
        <w:tc>
          <w:tcPr>
            <w:tcW w:type="dxa" w:w="3168"/>
          </w:tcPr>
          <w:p>
            <w:r>
              <w:rPr>
                <w:b/>
                <w:sz w:val="19"/>
              </w:rPr>
              <w:t>Cloud SQL / Memorystore / Cloud Storage</w:t>
            </w:r>
          </w:p>
        </w:tc>
        <w:tc>
          <w:tcPr>
            <w:tcW w:type="dxa" w:w="6192"/>
          </w:tcPr>
          <w:p>
            <w:r>
              <w:rPr>
                <w:sz w:val="19"/>
              </w:rPr>
              <w:t>Managed PostgreSQL / managed Redis / object storage on Google Cloud.</w:t>
            </w:r>
          </w:p>
        </w:tc>
      </w:tr>
      <w:tr>
        <w:tc>
          <w:tcPr>
            <w:tcW w:type="dxa" w:w="3168"/>
            <w:shd w:val="clear" w:color="auto" w:fill="F3F7FB"/>
          </w:tcPr>
          <w:p>
            <w:r>
              <w:rPr>
                <w:b/>
                <w:sz w:val="19"/>
              </w:rPr>
              <w:t>Committed-use discount</w:t>
            </w:r>
          </w:p>
        </w:tc>
        <w:tc>
          <w:tcPr>
            <w:tcW w:type="dxa" w:w="6192"/>
            <w:shd w:val="clear" w:color="auto" w:fill="F3F7FB"/>
          </w:tcPr>
          <w:p>
            <w:r>
              <w:rPr>
                <w:sz w:val="19"/>
              </w:rPr>
              <w:t>A 1- or 3-year usage commitment that lowers per-hour price by ~25–55%.</w:t>
            </w:r>
          </w:p>
        </w:tc>
      </w:tr>
      <w:tr>
        <w:tc>
          <w:tcPr>
            <w:tcW w:type="dxa" w:w="3168"/>
          </w:tcPr>
          <w:p>
            <w:r>
              <w:rPr>
                <w:b/>
                <w:sz w:val="19"/>
              </w:rPr>
              <w:t>GraphRAG</w:t>
            </w:r>
          </w:p>
        </w:tc>
        <w:tc>
          <w:tcPr>
            <w:tcW w:type="dxa" w:w="6192"/>
          </w:tcPr>
          <w:p>
            <w:r>
              <w:rPr>
                <w:sz w:val="19"/>
              </w:rPr>
              <w:t>Microsoft’s graph-based retrieval method — builds a knowledge graph for higher-precision context retrieval.</w:t>
            </w:r>
          </w:p>
        </w:tc>
      </w:tr>
      <w:tr>
        <w:tc>
          <w:tcPr>
            <w:tcW w:type="dxa" w:w="3168"/>
            <w:shd w:val="clear" w:color="auto" w:fill="F3F7FB"/>
          </w:tcPr>
          <w:p>
            <w:r>
              <w:rPr>
                <w:b/>
                <w:sz w:val="19"/>
              </w:rPr>
              <w:t>Steady state</w:t>
            </w:r>
          </w:p>
        </w:tc>
        <w:tc>
          <w:tcPr>
            <w:tcW w:type="dxa" w:w="6192"/>
            <w:shd w:val="clear" w:color="auto" w:fill="F3F7FB"/>
          </w:tcPr>
          <w:p>
            <w:r>
              <w:rPr>
                <w:sz w:val="19"/>
              </w:rPr>
              <w:t>Normal repeated execution of stable tests, served from cache with no AI calls.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