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Kiosk-QA Platform — AWS vs. Cloud-Agnostic Components</w:t>
      </w:r>
    </w:p>
    <w:p>
      <w:r>
        <w:rPr>
          <w:i/>
        </w:rPr>
        <w:t>The same platform runs two ways: AWS-native (the aws-based branch) and run-anywhere (the cloud-agnostic-agent branch). Claude is the reasoning engine in both. Each AWS-managed service maps to a portable, open-source equivalent selected purely by configuration — so one codebase deploys on Azure, GCP, EC2, or on-prem with no lock-in.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AWS-based component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Cloud-agnostic component</w:t>
            </w:r>
          </w:p>
        </w:tc>
        <w:tc>
          <w:tcPr>
            <w:tcW w:type="dxa" w:w="489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What it's used for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Amazon Bedrock (Claude Opus)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Anthropic API (Claude Opus) — same model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The reasoning engine for App Explorer (vision), Test Planner, and Auto-Repair. Claude is unchanged; only the call path differs (VISION_BACKEND=bedrock|anthropic).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DynamoDB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PostgreSQL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Relational metadata: kiosk configs, test cases, test runs &amp; results, defects, device map, robot events.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Amazon S3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MinIO (any S3-compatible store)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Durable object store for produced artifacts: app_map.json, exploration screenshots, cached test plans, and run results.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API Gateway (WebSocket) + DynamoDB Streams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FastAPI WebSocket + Redis pub/sub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Live run/step updates streamed to the Test Studio UI — fans out across multiple replicas.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AgentCore Runtime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Containers + Redis task queue (SERVICE_ROLE=worker)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Executes exploration and test runs. The API enqueues a job; worker processes consume and run it.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AWS Step Functions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In-process orchestrator (default) or Temporal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Sequences the pipeline (explore → plan → execute) and fans out per-test runs.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AgentCore Browser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Self-hosted Playwright + Chromium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Drives the live kiosk web app (taps, typing, screenshots) during exploration and test execution.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Amazon CloudWatch (GenAI observability)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OpenTelemetry / Langfuse (optional)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Traces LLM calls and run activity for debugging and cost/latency visibility.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AgentCore Memory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pgvector / Chroma (optional)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Semantic memory — recall previously-seen, similar screens to inform exploration.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ECS Fargate / Lambda / EKS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Docker Compose or Kubernetes (Azure, GCP, EC2, on-prem)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Compute/hosting. The identical container image runs anywhere; Docker↔K8s is a deploy-time switch.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AWS CDK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Docker Compose / Kubernetes manifests / Terraform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Infrastructure-as-code to provision and deploy the stack.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AWS Console / CloudWatch (inspection)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Adminer (Postgres) + MinIO console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Operator/demo visibility — browse the database tables and the object-store bucket directly.</w:t>
            </w:r>
          </w:p>
        </w:tc>
      </w:tr>
    </w:tbl>
    <w:p/>
    <w:p>
      <w:r>
        <w:rPr>
          <w:i/>
          <w:color w:val="595959"/>
          <w:sz w:val="17"/>
        </w:rPr>
        <w:t>Note: In the cloud-agnostic deployment the reasoning model is unchanged (Claude); local disk is the working store and MinIO/S3 holds the durable copy of every output. All backends are chosen via config (no code changes) and default to the local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