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OrbitalSense Telemetry Pipeline</w:t>
        <w:br/>
        <w:t>Design Rationale</w:t>
      </w:r>
    </w:p>
    <w:p>
      <w:pPr>
        <w:jc w:val="center"/>
      </w:pPr>
      <w:r>
        <w:rPr>
          <w:b/>
        </w:rPr>
        <w:t>Design decisions, failure semantics, and scale headroom</w:t>
      </w:r>
    </w:p>
    <w:p>
      <w:r>
        <w:t>The design separates transport, processing, and analytical storage so that transient failures, malformed records, and duplicate delivery do not become data loss or uncontrolled downstream writes.</w:t>
      </w:r>
    </w:p>
    <w:p>
      <w:pPr>
        <w:pStyle w:val="Heading1"/>
      </w:pPr>
      <w:r>
        <w:t>1. Design-decision rationale</w:t>
      </w:r>
    </w:p>
    <w:p>
      <w:pPr>
        <w:pStyle w:val="Heading2"/>
      </w:pPr>
      <w:r>
        <w:t>Why Pub/Sub as the ingestion boundary?</w:t>
      </w:r>
    </w:p>
    <w:p>
      <w:r>
        <w:t>Pub/Sub provides a durable buffer between satellites, ground stations, simulators, and processing. Producers do not have to wait for Dataflow capacity. At-least-once delivery is accepted deliberately: redelivery is treated as normal and downstream processing is made idempotent.</w:t>
      </w:r>
    </w:p>
    <w:p>
      <w:pPr>
        <w:pStyle w:val="Heading2"/>
      </w:pPr>
      <w:r>
        <w:t>Why Apache Beam/Dataflow?</w:t>
      </w:r>
    </w:p>
    <w:p>
      <w:r>
        <w:t>The workload is continuous and expected to grow. Beam provides a single model for parsing, validation, enrichment, deduplication, and multiple sinks, while Dataflow provides managed workers and autoscaling. This avoids operating a custom consumer fleet.</w:t>
      </w:r>
    </w:p>
    <w:p>
      <w:pPr>
        <w:pStyle w:val="Heading2"/>
      </w:pPr>
      <w:r>
        <w:t>Why separate raw and processed BigQuery tables?</w:t>
      </w:r>
    </w:p>
    <w:p>
      <w:r>
        <w:t>telemetry_raw preserves the original payload and ingestion metadata as an audit/replay boundary. telemetry contains normalized, enriched, analytics-ready records. This allows transformation logic to change without losing source evidence and protects analytical consumers from raw schema variability.</w:t>
      </w:r>
    </w:p>
    <w:p>
      <w:pPr>
        <w:pStyle w:val="Heading2"/>
      </w:pPr>
      <w:r>
        <w:t>Where does malformed data go?</w:t>
      </w:r>
    </w:p>
    <w:p>
      <w:r>
        <w:t>Malformed or unrecoverable records leave the happy path instead of retrying indefinitely. The dead-letter/error path retains the original payload, error reason, and processing metadata, making data-quality failures observable and recoverable without blocking valid telemetry.</w:t>
      </w:r>
    </w:p>
    <w:p>
      <w:pPr>
        <w:pStyle w:val="Heading2"/>
      </w:pPr>
      <w:r>
        <w:t>How are retries and duplicates handled?</w:t>
      </w:r>
    </w:p>
    <w:p>
      <w:r>
        <w:t>Transient failures may cause redelivery and Dataflow retries. Because delivery is at-least-once, duplicate processing is expected. A stable event/message identity is used for deduplication before writes, with idempotent sink behavior where possible.</w:t>
      </w:r>
    </w:p>
    <w:p>
      <w:pPr>
        <w:pStyle w:val="Heading2"/>
      </w:pPr>
      <w:r>
        <w:t>Why preserve event time separately from ingestion time?</w:t>
      </w:r>
    </w:p>
    <w:p>
      <w:r>
        <w:t>Telemetry can arrive late or out of order. Event time records when the measurement occurred; ingestion time records when the platform received it. Keeping both prevents transport delay from being mistaken for measurement time and supports an explicit late-arrival policy.</w:t>
      </w:r>
    </w:p>
    <w:p>
      <w:pPr>
        <w:pStyle w:val="Heading2"/>
      </w:pPr>
      <w:r>
        <w:t>Why treat missing data as unknown rather than zero?</w:t>
      </w:r>
    </w:p>
    <w:p>
      <w:r>
        <w:t>Absence of telemetry is not evidence of healthy behavior. Missing values therefore remain null, are flagged unknown, or follow an explicitly documented carry-forward/interpolation policy.</w:t>
      </w:r>
    </w:p>
    <w:p>
      <w:pPr>
        <w:pStyle w:val="Heading1"/>
      </w:pPr>
      <w:r>
        <w:t>2. What breaks first at 1,200 satellites?</w:t>
      </w:r>
    </w:p>
    <w:p>
      <w:r>
        <w:t>Increasing from 12 to 1,200 satellites is a 100× increase in producer count. Pub/Sub is unlikely to be the first practical constraint. The first risk is processing and sink capacity: validation, deduplication, retries, and BigQuery writes all scale with message volume. Under sustained load, Dataflow backlog would grow first, followed by higher worker demand and potentially regional resource/quota pressure. BigQuery write throughput and cost would then become important constraints.</w:t>
      </w:r>
    </w:p>
    <w:p>
      <w:r>
        <w:t>The operational failure mode is equally important. Multiple streaming jobs multiply consumption and can create duplicate processing while consuming extra workers. The current deployment experience already showed that obsolete Dataflow jobs can retain resources while draining/cancelling. At 1,200 satellites, deployment discipline, bounded autoscaling, and observability become part of the capacity design rather than after-the-fact operations.</w:t>
      </w:r>
    </w:p>
    <w:p>
      <w:pPr>
        <w:pStyle w:val="Heading1"/>
      </w:pPr>
      <w:r>
        <w:t>3. Cheapest change with the most headroom</w:t>
      </w:r>
    </w:p>
    <w:p>
      <w:r>
        <w:t>The cheapest high-leverage change is to remove avoidable worker demand before buying more infrastructure: operate one authoritative streaming job, explicitly bound its minimum/maximum workers, and choose a right-sized worker configuration. This is mostly configuration and operational control, but it directly prevents duplicate jobs and unbounded resource consumption.</w:t>
      </w:r>
    </w:p>
    <w:p>
      <w:r>
        <w:t>Next, make the hot path cheap: validate early, avoid unnecessary per-message external calls, keep deduplication keys compact and stable, and use efficient BigQuery writes. These changes multiply in value at 100× scale. Only after measuring Pub/Sub backlog, Dataflow utilization, retry rate, duplicate rate, sink latency, and regional resource headroom should quota or worker capacity be increased.</w:t>
      </w:r>
    </w:p>
    <w:p>
      <w:pPr>
        <w:pStyle w:val="Heading1"/>
      </w:pPr>
      <w:r>
        <w:t>4. Systems-thinking conclusion</w:t>
      </w:r>
    </w:p>
    <w:p>
      <w:r>
        <w:t>The architecture deliberately places a buffer, failure boundary, and durable evidence store at each major stage: Pub/Sub absorbs timing differences; Dataflow absorbs transient processing failures; validation isolates bad data; the dead-letter path preserves failures; deduplication absorbs at-least-once delivery; and raw BigQuery storage preserves source evidence. Scaling should therefore be driven by observed bottlenecks rather than by increasing every limit. The first goal is to eliminate unnecessary work and make every stage measurable; capacity expansion comes after that.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OrbitalSense Telemetry Pipeline • Design Rationale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