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B3D"/>
          <w:sz w:val="56"/>
          <w:szCs w:val="56"/>
        </w:rPr>
        <w:t xml:space="preserve">DataZone</w:t>
      </w:r>
    </w:p>
    <w:p>
      <w:pPr>
        <w:spacing w:after="300"/>
        <w:jc w:val="center"/>
      </w:pPr>
      <w:r>
        <w:rPr>
          <w:color w:val="444444"/>
          <w:sz w:val="28"/>
          <w:szCs w:val="28"/>
        </w:rPr>
        <w:t xml:space="preserve">Plant Disease Diagnosis Dashboard — Short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1B3D" w:val="clear"/>
          </w:tcPr>
          <w:p>
            <w:r>
              <w:rPr>
                <w:b/>
                <w:bCs/>
                <w:color w:val="FFFFFF"/>
              </w:rPr>
              <w:t xml:space="preserve">Name</w:t>
            </w:r>
          </w:p>
        </w:tc>
        <w:tc>
          <w:tcPr>
            <w:tcW w:type="dxa" w:w="3120"/>
            <w:shd w:fill="1F1B3D" w:val="clear"/>
          </w:tcPr>
          <w:p>
            <w:r>
              <w:rPr>
                <w:b/>
                <w:bCs/>
                <w:color w:val="FFFFFF"/>
              </w:rPr>
              <w:t xml:space="preserve">Roll Number</w:t>
            </w:r>
          </w:p>
        </w:tc>
        <w:tc>
          <w:tcPr>
            <w:tcW w:type="dxa" w:w="3120"/>
            <w:shd w:fill="1F1B3D" w:val="clear"/>
          </w:tcPr>
          <w:p>
            <w:r>
              <w:rPr>
                <w:b/>
                <w:bCs/>
                <w:color w:val="FFFFFF"/>
              </w:rPr>
              <w:t xml:space="preserve">Role</w:t>
            </w:r>
          </w:p>
        </w:tc>
      </w:tr>
      <w:tr>
        <w:tc>
          <w:tcPr>
            <w:tcW w:type="dxa" w:w="3120"/>
          </w:tcPr>
          <w:p>
            <w:r>
              <w:t xml:space="preserve">Ghulam Hyder</w:t>
            </w:r>
          </w:p>
        </w:tc>
        <w:tc>
          <w:tcPr>
            <w:tcW w:type="dxa" w:w="3120"/>
          </w:tcPr>
          <w:p>
            <w:r>
              <w:t xml:space="preserve">2k23/CSE/45</w:t>
            </w:r>
          </w:p>
        </w:tc>
        <w:tc>
          <w:tcPr>
            <w:tcW w:type="dxa" w:w="3120"/>
          </w:tcPr>
          <w:p>
            <w:r>
              <w:t xml:space="preserve">Leader</w:t>
            </w:r>
          </w:p>
        </w:tc>
      </w:tr>
      <w:tr>
        <w:tc>
          <w:tcPr>
            <w:tcW w:type="dxa" w:w="3120"/>
          </w:tcPr>
          <w:p>
            <w:r>
              <w:t xml:space="preserve">Mahnoor Arbani</w:t>
            </w:r>
          </w:p>
        </w:tc>
        <w:tc>
          <w:tcPr>
            <w:tcW w:type="dxa" w:w="3120"/>
          </w:tcPr>
          <w:p>
            <w:r>
              <w:t xml:space="preserve">2k23/CSE/73</w:t>
            </w:r>
          </w:p>
        </w:tc>
        <w:tc>
          <w:tcPr>
            <w:tcW w:type="dxa" w:w="3120"/>
          </w:tcPr>
          <w:p>
            <w:r>
              <w:t xml:space="preserve">Member</w:t>
            </w:r>
          </w:p>
        </w:tc>
      </w:tr>
      <w:tr>
        <w:tc>
          <w:tcPr>
            <w:tcW w:type="dxa" w:w="3120"/>
          </w:tcPr>
          <w:p>
            <w:r>
              <w:t xml:space="preserve">Sajid Hussain Lashari</w:t>
            </w:r>
          </w:p>
        </w:tc>
        <w:tc>
          <w:tcPr>
            <w:tcW w:type="dxa" w:w="3120"/>
          </w:tcPr>
          <w:p>
            <w:r>
              <w:t xml:space="preserve">2k23/CSE/127</w:t>
            </w:r>
          </w:p>
        </w:tc>
        <w:tc>
          <w:tcPr>
            <w:tcW w:type="dxa" w:w="3120"/>
          </w:tcPr>
          <w:p>
            <w:r>
              <w:t xml:space="preserve">Member</w:t>
            </w:r>
          </w:p>
        </w:tc>
      </w:tr>
    </w:tbl>
    <w:p>
      <w:pPr>
        <w:spacing w:after="200"/>
      </w:pPr>
    </w:p>
    <w:p>
      <w:pPr>
        <w:pBdr>
          <w:bottom w:val="single" w:color="999999" w:sz="6" w:space="1"/>
        </w:pBdr>
        <w:spacing w:after="200"/>
      </w:pPr>
    </w:p>
    <w:p>
      <w:pPr>
        <w:pStyle w:val="Heading1"/>
        <w:spacing w:after="150" w:before="300"/>
      </w:pPr>
      <w:r>
        <w:t xml:space="preserve">1. Problem</w:t>
      </w:r>
    </w:p>
    <w:p>
      <w:pPr>
        <w:spacing w:after="160"/>
        <w:jc w:val="both"/>
      </w:pPr>
      <w:r>
        <w:t xml:space="preserve">Plant diseases are one of the biggest reasons farmers lose crop yield every season. Most of the time, by the time visible symptoms are bad enough for someone to notice, the disease has already spread to nearby plants. Not every farmer has quick access to an agricultural expert who can look at a leaf and immediately tell what's wrong with it, especially in rural areas. Our project tries to close that gap: a farmer or student can take a photo of a leaf, upload it, and get an instant first opinion on what disease (if any) the plant has, along with basic treatment guidance.</w:t>
      </w:r>
    </w:p>
    <w:p>
      <w:pPr>
        <w:spacing w:after="160"/>
        <w:jc w:val="both"/>
      </w:pPr>
      <w:r>
        <w:t xml:space="preserve">We focused on three common crops — Pepper Bell, Potato, and Tomato — since these are widely grown and have well-documented, well-photographed diseases, which made them a practical starting point for a semester-length project.</w:t>
      </w:r>
    </w:p>
    <w:p>
      <w:pPr>
        <w:pStyle w:val="Heading1"/>
        <w:spacing w:after="150" w:before="300"/>
      </w:pPr>
      <w:r>
        <w:t xml:space="preserve">2. Method</w:t>
      </w:r>
    </w:p>
    <w:p>
      <w:pPr>
        <w:spacing w:after="160"/>
        <w:jc w:val="both"/>
      </w:pPr>
      <w:r>
        <w:t xml:space="preserve">We used the PlantVillage dataset, which contains labeled leaf images across healthy and diseased categories. The dataset was loaded directly from folders using TensorFlow's image_dataset_from_directory utility, which automatically assigns a class to each subfolder and splits the data into training and validation sets (80/20 split).</w:t>
      </w:r>
    </w:p>
    <w:p>
      <w:pPr>
        <w:spacing w:after="160"/>
        <w:jc w:val="both"/>
      </w:pPr>
      <w:r>
        <w:t xml:space="preserve">Each image is resized to 128 x 128 pixels and normalized before being fed into the model. We built a Convolutional Neural Network (CNN) using TensorFlow/Keras with three convolution + max-pooling blocks (32, 64, and 128 filters), followed by a flattening step, a dense layer of 128 units, a dropout layer (30%) to reduce overfitting, and a final softmax layer producing a probability for each of the 16 trained classes. The model was compiled with the Adam optimizer and trained using sparse categorical crossentropy as the loss function.</w:t>
      </w:r>
    </w:p>
    <w:p>
      <w:pPr>
        <w:spacing w:after="160"/>
        <w:jc w:val="both"/>
      </w:pPr>
      <w:r>
        <w:t xml:space="preserve">One honest note worth mentioning here: while organizing the dataset folder, a nested duplicate folder was accidentally left inside the main dataset directory. Since our data-loading method reads every subfolder as its own class automatically, this got picked up as an extra, invalid 16th class during training. We caught this after testing the deployed app and reviewing the training notebook's actual output, and corrected the class-label mapping in the application accordingly so predictions display the correct disease name.</w:t>
      </w:r>
    </w:p>
    <w:p>
      <w:pPr>
        <w:spacing w:after="160"/>
        <w:jc w:val="both"/>
      </w:pPr>
      <w:r>
        <w:t xml:space="preserve">The trained model (plant_disease_model.keras) was then integrated into a Streamlit web application. The app is organized into separate modules for clarity: preprocessing (image resizing/preparation), model handling (loading the CNN and running predictions), visualization (charts), explanation (the explainability panel), and a reference database of treatments per disease.</w:t>
      </w:r>
    </w:p>
    <w:p>
      <w:pPr>
        <w:pStyle w:val="Heading1"/>
        <w:spacing w:after="150" w:before="300"/>
      </w:pPr>
      <w:r>
        <w:t xml:space="preserve">3. AI Used</w:t>
      </w:r>
    </w:p>
    <w:p>
      <w:pPr>
        <w:spacing w:after="160"/>
        <w:jc w:val="both"/>
      </w:pPr>
      <w:r>
        <w:t xml:space="preserve">The core AI component is the CNN described above, which performs the actual image classification — this is the only part of the system that looks at the uploaded image. In addition, we integrated the Groq API (using the llama-3.3-70b-versatile model) purely as a text-generation layer: once the CNN produces a prediction and confidence score, that result is sent to Groq as plain text, and it generates a more detailed, human-readable clinical explanation and management plan. Groq never sees or processes the image itself — all visual analysis is handled entirely by our own trained CNN.</w:t>
      </w:r>
    </w:p>
    <w:p>
      <w:pPr>
        <w:spacing w:after="160"/>
        <w:jc w:val="both"/>
      </w:pPr>
      <w:r>
        <w:t xml:space="preserve">We were deliberate about keeping this distinction clear in our own understanding of the system: the CNN is the actual AI model doing the diagnostic work, while the LLM layer is an explainability/communication aid on top of it, not a second opinion or independent analysis.</w:t>
      </w:r>
    </w:p>
    <w:p>
      <w:pPr>
        <w:pStyle w:val="Heading1"/>
        <w:spacing w:after="150" w:before="300"/>
      </w:pPr>
      <w:r>
        <w:t xml:space="preserve">4. Results</w:t>
      </w:r>
    </w:p>
    <w:p>
      <w:pPr>
        <w:spacing w:after="160"/>
        <w:jc w:val="both"/>
      </w:pPr>
      <w:r>
        <w:t xml:space="preserve">Below are the honest performance numbers from our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1B3D" w:val="clear"/>
          </w:tcPr>
          <w:p>
            <w:r>
              <w:rPr>
                <w:b/>
                <w:bCs/>
                <w:color w:val="FFFFFF"/>
              </w:rPr>
              <w:t xml:space="preserve">Metric</w:t>
            </w:r>
          </w:p>
        </w:tc>
        <w:tc>
          <w:tcPr>
            <w:tcW w:type="dxa" w:w="4680"/>
            <w:shd w:fill="1F1B3D" w:val="clear"/>
          </w:tcPr>
          <w:p>
            <w:r>
              <w:rPr>
                <w:b/>
                <w:bCs/>
                <w:color w:val="FFFFFF"/>
              </w:rPr>
              <w:t xml:space="preserve">Value</w:t>
            </w:r>
          </w:p>
        </w:tc>
      </w:tr>
      <w:tr>
        <w:tc>
          <w:tcPr>
            <w:tcW w:type="dxa" w:w="4680"/>
          </w:tcPr>
          <w:p>
            <w:r>
              <w:t xml:space="preserve">Total training images</w:t>
            </w:r>
          </w:p>
        </w:tc>
        <w:tc>
          <w:tcPr>
            <w:tcW w:type="dxa" w:w="4680"/>
          </w:tcPr>
          <w:p>
            <w:r>
              <w:t xml:space="preserve">41,276 (across 16 folder-based classes)</w:t>
            </w:r>
          </w:p>
        </w:tc>
      </w:tr>
      <w:tr>
        <w:tc>
          <w:tcPr>
            <w:tcW w:type="dxa" w:w="4680"/>
          </w:tcPr>
          <w:p>
            <w:r>
              <w:t xml:space="preserve">Training / validation split</w:t>
            </w:r>
          </w:p>
        </w:tc>
        <w:tc>
          <w:tcPr>
            <w:tcW w:type="dxa" w:w="4680"/>
          </w:tcPr>
          <w:p>
            <w:r>
              <w:t xml:space="preserve">80% / 20%</w:t>
            </w:r>
          </w:p>
        </w:tc>
      </w:tr>
      <w:tr>
        <w:tc>
          <w:tcPr>
            <w:tcW w:type="dxa" w:w="4680"/>
          </w:tcPr>
          <w:p>
            <w:r>
              <w:t xml:space="preserve">Epochs trained</w:t>
            </w:r>
          </w:p>
        </w:tc>
        <w:tc>
          <w:tcPr>
            <w:tcW w:type="dxa" w:w="4680"/>
          </w:tcPr>
          <w:p>
            <w:r>
              <w:t xml:space="preserve">3</w:t>
            </w:r>
          </w:p>
        </w:tc>
      </w:tr>
      <w:tr>
        <w:tc>
          <w:tcPr>
            <w:tcW w:type="dxa" w:w="4680"/>
          </w:tcPr>
          <w:p>
            <w:r>
              <w:t xml:space="preserve">Final training accuracy</w:t>
            </w:r>
          </w:p>
        </w:tc>
        <w:tc>
          <w:tcPr>
            <w:tcW w:type="dxa" w:w="4680"/>
          </w:tcPr>
          <w:p>
            <w:r>
              <w:t xml:space="preserve">48.72%</w:t>
            </w:r>
          </w:p>
        </w:tc>
      </w:tr>
      <w:tr>
        <w:tc>
          <w:tcPr>
            <w:tcW w:type="dxa" w:w="4680"/>
          </w:tcPr>
          <w:p>
            <w:r>
              <w:t xml:space="preserve">Final validation accuracy</w:t>
            </w:r>
          </w:p>
        </w:tc>
        <w:tc>
          <w:tcPr>
            <w:tcW w:type="dxa" w:w="4680"/>
          </w:tcPr>
          <w:p>
            <w:r>
              <w:t xml:space="preserve">47.97%</w:t>
            </w:r>
          </w:p>
        </w:tc>
      </w:tr>
      <w:tr>
        <w:tc>
          <w:tcPr>
            <w:tcW w:type="dxa" w:w="4680"/>
          </w:tcPr>
          <w:p>
            <w:r>
              <w:t xml:space="preserve">Input image size</w:t>
            </w:r>
          </w:p>
        </w:tc>
        <w:tc>
          <w:tcPr>
            <w:tcW w:type="dxa" w:w="4680"/>
          </w:tcPr>
          <w:p>
            <w:r>
              <w:t xml:space="preserve">128 x 128 x 3 (RGB)</w:t>
            </w:r>
          </w:p>
        </w:tc>
      </w:tr>
    </w:tbl>
    <w:p>
      <w:pPr>
        <w:spacing w:after="200"/>
      </w:pPr>
    </w:p>
    <w:p>
      <w:pPr>
        <w:spacing w:after="160"/>
        <w:jc w:val="both"/>
      </w:pPr>
      <w:r>
        <w:t xml:space="preserve">A validation accuracy of roughly 48% after only 3 training epochs is modest, and we want to be upfront about that rather than overstate it. Given more training time (more epochs), a larger and more varied dataset, and possibly transfer learning from a pretrained image model, accuracy could likely be improved significantly. What the current model does reliably is recognize the general disease pattern (for example, correctly identifying Early Blight-type lesions), though it can occasionally confuse which crop the leaf belongs to when two crops share a visually similar disease — Tomato and Potato Early Blight, for instance, are caused by the same fungus and look nearly identical on the leaf.</w:t>
      </w:r>
    </w:p>
    <w:p>
      <w:pPr>
        <w:spacing w:after="160"/>
        <w:jc w:val="both"/>
      </w:pPr>
      <w:r>
        <w:t xml:space="preserve">In practical testing with real uploaded leaf photos, the application correctly ran end-to-end: image upload, preprocessing, CNN prediction, confidence scoring, treatment lookup, and AI-generated explanation all worked as an integrated pipeline.</w:t>
      </w:r>
    </w:p>
    <w:p>
      <w:pPr>
        <w:pStyle w:val="Heading1"/>
        <w:spacing w:after="150" w:before="300"/>
      </w:pPr>
      <w:r>
        <w:t xml:space="preserve">5. Limitations</w:t>
      </w:r>
    </w:p>
    <w:p>
      <w:pPr>
        <w:pStyle w:val="ListParagraph"/>
        <w:numPr>
          <w:ilvl w:val="0"/>
          <w:numId w:val="1"/>
        </w:numPr>
        <w:spacing w:after="80"/>
      </w:pPr>
      <w:r>
        <w:t xml:space="preserve">Only 3 training epochs were run, mainly due to time and hardware constraints (training on CPU took roughly 10-12 minutes per epoch).</w:t>
      </w:r>
    </w:p>
    <w:p>
      <w:pPr>
        <w:pStyle w:val="ListParagraph"/>
        <w:numPr>
          <w:ilvl w:val="0"/>
          <w:numId w:val="1"/>
        </w:numPr>
        <w:spacing w:after="80"/>
      </w:pPr>
      <w:r>
        <w:t xml:space="preserve">Validation accuracy (~48%) leaves clear room for improvement and should not be read as production-ready diagnostic accuracy.</w:t>
      </w:r>
    </w:p>
    <w:p>
      <w:pPr>
        <w:pStyle w:val="ListParagraph"/>
        <w:numPr>
          <w:ilvl w:val="0"/>
          <w:numId w:val="1"/>
        </w:numPr>
        <w:spacing w:after="80"/>
      </w:pPr>
      <w:r>
        <w:t xml:space="preserve">Some diseases that look visually similar across different crops can be misclassified in terms of which crop is affected, even when the disease type itself is identified correctly.</w:t>
      </w:r>
    </w:p>
    <w:p>
      <w:pPr>
        <w:pStyle w:val="ListParagraph"/>
        <w:numPr>
          <w:ilvl w:val="0"/>
          <w:numId w:val="1"/>
        </w:numPr>
        <w:spacing w:after="80"/>
      </w:pPr>
      <w:r>
        <w:t xml:space="preserve">The model performs best on clear, well-lit, single-leaf photographs; cluttered backgrounds or multiple leaves in one image reduce reliability.</w:t>
      </w:r>
    </w:p>
    <w:p>
      <w:pPr>
        <w:pStyle w:val="Heading1"/>
        <w:spacing w:after="150" w:before="300"/>
      </w:pPr>
      <w:r>
        <w:t xml:space="preserve">6. Future Improvements</w:t>
      </w:r>
    </w:p>
    <w:p>
      <w:pPr>
        <w:pStyle w:val="ListParagraph"/>
        <w:numPr>
          <w:ilvl w:val="0"/>
          <w:numId w:val="1"/>
        </w:numPr>
        <w:spacing w:after="80"/>
      </w:pPr>
      <w:r>
        <w:t xml:space="preserve">Train for significantly more epochs, ideally with GPU acceleration, to allow the model to converge properly.</w:t>
      </w:r>
    </w:p>
    <w:p>
      <w:pPr>
        <w:pStyle w:val="ListParagraph"/>
        <w:numPr>
          <w:ilvl w:val="0"/>
          <w:numId w:val="1"/>
        </w:numPr>
        <w:spacing w:after="80"/>
      </w:pPr>
      <w:r>
        <w:t xml:space="preserve">Expand and diversify the training dataset with more real-world field photos, not only clean lab-style images.</w:t>
      </w:r>
    </w:p>
    <w:p>
      <w:pPr>
        <w:pStyle w:val="ListParagraph"/>
        <w:numPr>
          <w:ilvl w:val="0"/>
          <w:numId w:val="1"/>
        </w:numPr>
        <w:spacing w:after="80"/>
      </w:pPr>
      <w:r>
        <w:t xml:space="preserve">Add a crop-selection step before prediction to reduce cross-crop confusion between visually similar diseases.</w:t>
      </w:r>
    </w:p>
    <w:p>
      <w:pPr>
        <w:pStyle w:val="ListParagraph"/>
        <w:numPr>
          <w:ilvl w:val="0"/>
          <w:numId w:val="1"/>
        </w:numPr>
        <w:spacing w:after="80"/>
      </w:pPr>
      <w:r>
        <w:t xml:space="preserve">Explore transfer learning using a pretrained architecture (e.g. MobileNetV2) to boost accuracy without needing a much larger dataset.</w:t>
      </w:r>
    </w:p>
    <w:p>
      <w:pPr>
        <w:pStyle w:val="ListParagraph"/>
        <w:numPr>
          <w:ilvl w:val="0"/>
          <w:numId w:val="1"/>
        </w:numPr>
        <w:spacing w:after="80"/>
      </w:pPr>
      <w:r>
        <w:t xml:space="preserve">Add Grad-CAM style visual heatmaps to show exactly which part of the leaf influenced the model's decision.</w:t>
      </w:r>
    </w:p>
    <w:p>
      <w:pPr>
        <w:pStyle w:val="Heading1"/>
        <w:spacing w:after="150" w:before="300"/>
      </w:pPr>
      <w:r>
        <w:t xml:space="preserve">7. Conclusion</w:t>
      </w:r>
    </w:p>
    <w:p>
      <w:pPr>
        <w:spacing w:after="160"/>
        <w:jc w:val="both"/>
      </w:pPr>
      <w:r>
        <w:t xml:space="preserve">This project gave us hands-on experience with the full pipeline of a real deep learning application — from preparing a dataset and training a CNN, to debugging real integration issues (like the double-normalization and class-order bugs we found and fixed), to building an interactive interface around the model. The current accuracy is a realistic starting point rather than a finished product, and we've tried to be transparent about exactly where its strengths and weaknesses are, which we think reflects genuine understanding of the system rather than just getting it to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2026-07-22T20:32:08.530Z</dcterms:created>
  <dcterms:modified xsi:type="dcterms:W3CDTF">2026-07-22T20:32:08.544Z</dcterms:modified>
</cp:coreProperties>
</file>

<file path=docProps/custom.xml><?xml version="1.0" encoding="utf-8"?>
<Properties xmlns="http://schemas.openxmlformats.org/officeDocument/2006/custom-properties" xmlns:vt="http://schemas.openxmlformats.org/officeDocument/2006/docPropsVTypes"/>
</file>