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Microsoft_Visio_Drawing.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
    <w:p>
      <w:pPr/>
    </w:p>
    <w:p>
      <w:pPr/>
    </w:p>
    <w:p>
      <w:pPr/>
    </w:p>
    <w:p>
      <w:pPr>
        <w:pStyle w:val="TitleStyle"/>
        <w:jc w:val="center"/>
      </w:pPr>
      <w:r>
        <w:t>公司OA审批智能体系统</w:t>
      </w:r>
    </w:p>
    <w:p>
      <w:pPr>
        <w:pStyle w:val="TitleStyle"/>
        <w:jc w:val="center"/>
      </w:pPr>
      <w:r>
        <w:t>技术方案</w:t>
      </w:r>
    </w:p>
    <w:p>
      <w:pPr>
        <w:pStyle w:val="a8"/>
        <w:jc w:val="center"/>
      </w:pPr>
    </w:p>
    <w:p>
      <w:pPr>
        <w:pStyle w:val="a8"/>
        <w:jc w:val="center"/>
      </w:pPr>
    </w:p>
    <w:p>
      <w:pPr>
        <w:pStyle w:val="a8"/>
        <w:jc w:val="center"/>
      </w:pPr>
      <w:r>
        <w:rPr>
          <w:rFonts w:ascii="Times New Roman" w:hAnsi="Times New Roman" w:eastAsia="黑体"/>
          <w:b/>
          <w:sz w:val="28"/>
        </w:rPr>
        <w:t>——从套用固定模板向按申报生成路径战略转型</w:t>
      </w:r>
    </w:p>
    <w:p>
      <w:pPr>
        <w:pStyle w:val="a8"/>
        <w:jc w:val="center"/>
      </w:pPr>
    </w:p>
    <w:p>
      <w:pPr>
        <w:pStyle w:val="a8"/>
        <w:jc w:val="center"/>
      </w:pPr>
    </w:p>
    <w:p>
      <w:pPr>
        <w:pStyle w:val="a8"/>
        <w:jc w:val="center"/>
      </w:pPr>
    </w:p>
    <w:p>
      <w:pPr>
        <w:pStyle w:val="a8"/>
        <w:jc w:val="center"/>
      </w:pPr>
    </w:p>
    <w:p>
      <w:pPr>
        <w:pStyle w:val="a8"/>
        <w:jc w:val="center"/>
      </w:pPr>
    </w:p>
    <w:p>
      <w:pPr>
        <w:pStyle w:val="a8"/>
        <w:jc w:val="center"/>
      </w:pPr>
    </w:p>
    <w:p>
      <w:pPr>
        <w:pStyle w:val="a8"/>
        <w:jc w:val="center"/>
      </w:pPr>
      <w:r>
        <w:t>版本：V1.0</w:t>
      </w:r>
    </w:p>
    <w:p>
      <w:pPr>
        <w:pStyle w:val="a8"/>
        <w:jc w:val="center"/>
      </w:pPr>
      <w:r>
        <w:t>2026年8月</w:t>
      </w:r>
    </w:p>
    <w:p>
      <w:pPr/>
    </w:p>
    <w:p>
      <w:pPr/>
    </w:p>
    <w:p>
      <w:pPr/>
    </w:p>
    <w:p>
      <w:pPr/>
    </w:p>
    <w:p>
      <w:pPr>
        <w:pStyle w:val="1"/>
      </w:pPr>
      <w:r>
        <w:t>项目背景与建设意义</w:t>
      </w:r>
    </w:p>
    <w:p>
      <w:pPr>
        <w:pStyle w:val="21"/>
      </w:pPr>
      <w:r>
        <w:t>行业发展背景</w:t>
      </w:r>
    </w:p>
    <w:p>
      <w:pPr/>
      <w:r>
        <w:t>企业办公自动化审批是保障组织运转和内部控制的基础性环节。费用报销、物资采购、合同签署、人事假勤以及项目立项等事项，长期依赖“制度文本、人工判断、固定流程模板”的组合方式运行。制度本身以管理办法、实施细则和公文形式存在，条款分散、修订频繁；进入信息系统后，却往往被压缩为少数几条预先配置好的审批模板。提交人在下拉框中选择报销或采购，系统按既定节点流转，难以回答三个越来越尖锐的问题：这一单是否应当增加审批层级，当地法规是否构成额外限制，缺少哪一份附件就必须卡住而不能继续下传。</w:t>
      </w:r>
    </w:p>
    <w:p>
      <w:pPr/>
      <w:r>
        <w:t>近年来，受内控要求提高、跨地域作业增多以及大模型文本理解能力提升等多重因素叠加影响，企业对审批过程“可读制度、可读材料、可解释路径”的需求显著上升。传统流程引擎擅长把已经画好的图跑起来，并不擅长根据一份立项书和一组附件，当场生成这一单应走的路径。与此同时，监管与审计对可追溯性的要求并没有放松：金额门槛、岗位权限、时限约定、空域与特种设备报备，都不能交给一次不确定的自由生成独自拍板。</w:t>
      </w:r>
    </w:p>
    <w:p>
      <w:pPr/>
      <w:r>
        <w:t>集团型企业还面临另一重现实：部门忙闲不均，规章制度中往往写有并行工作数或同时处理上限。若系统日历不感知这些条款，所谓负荷分析只是摆设。如何把外部制度信号与内部在办事项结合起来，使“改一页制度、刷新一版忙闲”成为可验证的闭环，已成为审批信息化从配置台走向经营侧决策支持的关键课题。</w:t>
      </w:r>
    </w:p>
    <w:p>
      <w:pPr>
        <w:pStyle w:val="21"/>
      </w:pPr>
      <w:r>
        <w:t>现存主要问题</w:t>
      </w:r>
    </w:p>
    <w:p>
      <w:pPr/>
      <w:r>
        <w:t>当前企业在审批信息化和制度执行方面主要存在三方面不足，制约了审批决策的科学性和时效性。</w:t>
      </w:r>
    </w:p>
    <w:p>
      <w:pPr/>
      <w:r>
        <w:t>（1）制度文本与内部流程彼此分散，难以形成统一视图。企业通常分别管理规章制度、流程配置和在办事项，但三者之间缺乏系统性的关联分析框架。一份管理办法如何改变某一类申报的节点构成，金额过线会增加哪一层审批，部门并行上限如何影响日历，往往依赖实施顾问的经验判断，缺乏标准化的分析路径和量化方法。</w:t>
      </w:r>
    </w:p>
    <w:p>
      <w:pPr/>
      <w:r>
        <w:t>（2）分析结论往往直接从“申报”跳到“下一节点”，缺少中间业务路径和条件解释。很多流程说明习惯于直接给出“提交后由财务审核”的结论，但对于影响通过哪些条件传导、各环节的时限特征如何、缺件和部门饱和如何缓冲或放大等待时间等关键问题，缺乏清晰的拆解和说明。这使得管理者难以理解路径变化的内在机制，也难以针对性地补材料或调整负荷。</w:t>
      </w:r>
    </w:p>
    <w:p>
      <w:pPr/>
      <w:r>
        <w:t>（3）套用固定模板的模式难以适应差异化申报需要。传统配置主要基于内部四类日常事项和固定参数进行流转，对申报正文中的金额、城市、设备和附件组合响应不足。在立项、测绘、特种作业等事项增多的背景下，单纯依靠套模板已无法满足市场化、合规化审批的需要，亟需向按申报生成路径转型，将制度条款和申报材料深度融入路径生成与闸门控制。</w:t>
      </w:r>
    </w:p>
    <w:p>
      <w:pPr>
        <w:pStyle w:val="21"/>
      </w:pPr>
      <w:r>
        <w:t>战略转型必要性</w:t>
      </w:r>
    </w:p>
    <w:p>
      <w:pPr/>
      <w:r>
        <w:t>从“套用固定模板”向“按申报生成路径”战略转型，是企业把规章制度真正变成可执行知识、提升审批决策能力的必然选择，具有重要的战略意义和现实紧迫性。</w:t>
      </w:r>
    </w:p>
    <w:p>
      <w:pPr/>
      <w:r>
        <w:t>（1）是应对申报差异加剧的客观需要。当前立项与特种作业申报在金额量级、作业城市、设备类型上差异显著，固定模板基于静态假设，难以快速响应材料变化，亟需建立能够感知申报结构、动态生成路径的分析体系。</w:t>
      </w:r>
    </w:p>
    <w:p>
      <w:pPr/>
      <w:r>
        <w:t>（2）是提升审批决策科学性的内在要求。合规化审批要求企业能够准确识别当地限制、科学评估缺件风险、优化部门负荷。按申报生成路径通过深度分析制度条款和申报要素对审批链的传导影响，为审批决策提供可解释依据和情景对照，能够显著提升决策的科学性和可审计性。</w:t>
      </w:r>
    </w:p>
    <w:p>
      <w:pPr/>
      <w:r>
        <w:t>（3）是增强合规闸门能力的重要手段。随着跨城作业增多，法规传导速度加快、影响范围扩大。系统能够识别空域与飞行报备等关键附件是否齐备，量化缺件对流转的阻断，提前把流程卡住，为企业合规管控提供有力支撑。</w:t>
      </w:r>
    </w:p>
    <w:p>
      <w:pPr/>
      <w:r>
        <w:t>（4）是打造审批分析中心的基础支撑。建设统一的OA审批智能体，能够整合分散的制度文本、申报原件、在办负荷和生成方案，形成组织级的路径分析能力，为业务部门、合规部门和各级管理者提供专业化、标准化的审批分析服务。</w:t>
      </w:r>
    </w:p>
    <w:p>
      <w:pPr>
        <w:pStyle w:val="1"/>
      </w:pPr>
      <w:r>
        <w:t>总体设计</w:t>
      </w:r>
    </w:p>
    <w:p>
      <w:pPr>
        <w:pStyle w:val="21"/>
      </w:pPr>
      <w:r>
        <w:t>核心建设目标</w:t>
      </w:r>
    </w:p>
    <w:p>
      <w:pPr>
        <w:pStyle w:val="31"/>
      </w:pPr>
      <w:r>
        <w:t>总体目标</w:t>
      </w:r>
    </w:p>
    <w:p>
      <w:pPr/>
      <w:r>
        <w:t>本项目的核心目标是建立一套科学、系统、可落地的公司OA审批智能分析能力，完成从套用固定模板向按申报生成路径的战略转型，为企业的审批决策和合规管控提供有力支撑。</w:t>
      </w:r>
    </w:p>
    <w:p>
      <w:pPr/>
      <w:r>
        <w:t>总体目标：建立“申报材料—制度信号—路径生成—合规闸门—容量占用—清单与方案”的标准传导分析范式，研究金额、设备、城市和缺件的一阶、二阶和多阶影响推演方法，设计一个结合领域大模型、Skills工具集、确定性路径算法的技术架构，打造组织级的审批分析中心。</w:t>
      </w:r>
    </w:p>
    <w:p>
      <w:pPr>
        <w:pStyle w:val="31"/>
      </w:pPr>
      <w:r>
        <w:t>具体建设目标</w:t>
      </w:r>
    </w:p>
    <w:p>
      <w:pPr/>
      <w:r>
        <w:t>围绕总体目标，本方案设定以下具体建设目标：</w:t>
      </w:r>
    </w:p>
    <w:p>
      <w:pPr>
        <w:pStyle w:val="a7"/>
      </w:pPr>
      <w:r>
        <w:t>表  具体建设目标及预期成效</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目标维度</w:t>
            </w:r>
          </w:p>
        </w:tc>
        <w:tc>
          <w:tcPr>
            <w:tcW w:type="dxa" w:w="2880"/>
          </w:tcPr>
          <w:p>
            <w:r>
              <w:rPr>
                <w:rFonts w:ascii="Times New Roman" w:hAnsi="Times New Roman" w:eastAsia="黑体"/>
                <w:b/>
                <w:sz w:val="21"/>
              </w:rPr>
              <w:t>具体内容</w:t>
            </w:r>
          </w:p>
        </w:tc>
        <w:tc>
          <w:tcPr>
            <w:tcW w:type="dxa" w:w="2880"/>
          </w:tcPr>
          <w:p>
            <w:r>
              <w:rPr>
                <w:rFonts w:ascii="Times New Roman" w:hAnsi="Times New Roman" w:eastAsia="黑体"/>
                <w:b/>
                <w:sz w:val="21"/>
              </w:rPr>
              <w:t>预期成效</w:t>
            </w:r>
          </w:p>
        </w:tc>
      </w:tr>
      <w:tr>
        <w:tc>
          <w:tcPr>
            <w:tcW w:type="dxa" w:w="2880"/>
          </w:tcPr>
          <w:p>
            <w:r>
              <w:rPr>
                <w:rFonts w:ascii="Times New Roman" w:hAnsi="Times New Roman" w:eastAsia="宋体"/>
                <w:sz w:val="21"/>
              </w:rPr>
              <w:t>标准传导范式</w:t>
            </w:r>
          </w:p>
        </w:tc>
        <w:tc>
          <w:tcPr>
            <w:tcW w:type="dxa" w:w="2880"/>
          </w:tcPr>
          <w:p>
            <w:r>
              <w:rPr>
                <w:rFonts w:ascii="Times New Roman" w:hAnsi="Times New Roman" w:eastAsia="宋体"/>
                <w:sz w:val="21"/>
              </w:rPr>
              <w:t>形成申报要素到审批路径、闸门和容量的统一分析链条</w:t>
            </w:r>
          </w:p>
        </w:tc>
        <w:tc>
          <w:tcPr>
            <w:tcW w:type="dxa" w:w="2880"/>
          </w:tcPr>
          <w:p>
            <w:r>
              <w:rPr>
                <w:rFonts w:ascii="Times New Roman" w:hAnsi="Times New Roman" w:eastAsia="宋体"/>
                <w:sz w:val="21"/>
              </w:rPr>
              <w:t>不同类型申报遵循同一逻辑，结果可比较、可复用</w:t>
            </w:r>
          </w:p>
        </w:tc>
      </w:tr>
      <w:tr>
        <w:tc>
          <w:tcPr>
            <w:tcW w:type="dxa" w:w="2880"/>
          </w:tcPr>
          <w:p>
            <w:r>
              <w:rPr>
                <w:rFonts w:ascii="Times New Roman" w:hAnsi="Times New Roman" w:eastAsia="宋体"/>
                <w:sz w:val="21"/>
              </w:rPr>
              <w:t>制度可学习</w:t>
            </w:r>
          </w:p>
        </w:tc>
        <w:tc>
          <w:tcPr>
            <w:tcW w:type="dxa" w:w="2880"/>
          </w:tcPr>
          <w:p>
            <w:r>
              <w:rPr>
                <w:rFonts w:ascii="Times New Roman" w:hAnsi="Times New Roman" w:eastAsia="宋体"/>
                <w:sz w:val="21"/>
              </w:rPr>
              <w:t>规章制度进入知识库后可被检索，并行工作数可写入部门日历</w:t>
            </w:r>
          </w:p>
        </w:tc>
        <w:tc>
          <w:tcPr>
            <w:tcW w:type="dxa" w:w="2880"/>
          </w:tcPr>
          <w:p>
            <w:r>
              <w:rPr>
                <w:rFonts w:ascii="Times New Roman" w:hAnsi="Times New Roman" w:eastAsia="宋体"/>
                <w:sz w:val="21"/>
              </w:rPr>
              <w:t>改制度即可观察路径依据和忙闲变化</w:t>
            </w:r>
          </w:p>
        </w:tc>
      </w:tr>
      <w:tr>
        <w:tc>
          <w:tcPr>
            <w:tcW w:type="dxa" w:w="2880"/>
          </w:tcPr>
          <w:p>
            <w:r>
              <w:rPr>
                <w:rFonts w:ascii="Times New Roman" w:hAnsi="Times New Roman" w:eastAsia="宋体"/>
                <w:sz w:val="21"/>
              </w:rPr>
              <w:t>路径按单生成</w:t>
            </w:r>
          </w:p>
        </w:tc>
        <w:tc>
          <w:tcPr>
            <w:tcW w:type="dxa" w:w="2880"/>
          </w:tcPr>
          <w:p>
            <w:r>
              <w:rPr>
                <w:rFonts w:ascii="Times New Roman" w:hAnsi="Times New Roman" w:eastAsia="宋体"/>
                <w:sz w:val="21"/>
              </w:rPr>
              <w:t>立项等事项按金额、设备和城市生成不同节点链</w:t>
            </w:r>
          </w:p>
        </w:tc>
        <w:tc>
          <w:tcPr>
            <w:tcW w:type="dxa" w:w="2880"/>
          </w:tcPr>
          <w:p>
            <w:r>
              <w:rPr>
                <w:rFonts w:ascii="Times New Roman" w:hAnsi="Times New Roman" w:eastAsia="宋体"/>
                <w:sz w:val="21"/>
              </w:rPr>
              <w:t>高额特种作业与低额内部事项走出显著不同的方案</w:t>
            </w:r>
          </w:p>
        </w:tc>
      </w:tr>
      <w:tr>
        <w:tc>
          <w:tcPr>
            <w:tcW w:type="dxa" w:w="2880"/>
          </w:tcPr>
          <w:p>
            <w:r>
              <w:rPr>
                <w:rFonts w:ascii="Times New Roman" w:hAnsi="Times New Roman" w:eastAsia="宋体"/>
                <w:sz w:val="21"/>
              </w:rPr>
              <w:t>合规闸门</w:t>
            </w:r>
          </w:p>
        </w:tc>
        <w:tc>
          <w:tcPr>
            <w:tcW w:type="dxa" w:w="2880"/>
          </w:tcPr>
          <w:p>
            <w:r>
              <w:rPr>
                <w:rFonts w:ascii="Times New Roman" w:hAnsi="Times New Roman" w:eastAsia="宋体"/>
                <w:sz w:val="21"/>
              </w:rPr>
              <w:t>对无人机等特种作业读取城市并对照限制，缺报备则卡住</w:t>
            </w:r>
          </w:p>
        </w:tc>
        <w:tc>
          <w:tcPr>
            <w:tcW w:type="dxa" w:w="2880"/>
          </w:tcPr>
          <w:p>
            <w:r>
              <w:rPr>
                <w:rFonts w:ascii="Times New Roman" w:hAnsi="Times New Roman" w:eastAsia="宋体"/>
                <w:sz w:val="21"/>
              </w:rPr>
              <w:t>证据不足不得流转，补件后可解除停滞</w:t>
            </w:r>
          </w:p>
        </w:tc>
      </w:tr>
      <w:tr>
        <w:tc>
          <w:tcPr>
            <w:tcW w:type="dxa" w:w="2880"/>
          </w:tcPr>
          <w:p>
            <w:r>
              <w:rPr>
                <w:rFonts w:ascii="Times New Roman" w:hAnsi="Times New Roman" w:eastAsia="宋体"/>
                <w:sz w:val="21"/>
              </w:rPr>
              <w:t>容量感知</w:t>
            </w:r>
          </w:p>
        </w:tc>
        <w:tc>
          <w:tcPr>
            <w:tcW w:type="dxa" w:w="2880"/>
          </w:tcPr>
          <w:p>
            <w:r>
              <w:rPr>
                <w:rFonts w:ascii="Times New Roman" w:hAnsi="Times New Roman" w:eastAsia="宋体"/>
                <w:sz w:val="21"/>
              </w:rPr>
              <w:t>把制度中的并行上限与在办事项结合，计算部门负荷</w:t>
            </w:r>
          </w:p>
        </w:tc>
        <w:tc>
          <w:tcPr>
            <w:tcW w:type="dxa" w:w="2880"/>
          </w:tcPr>
          <w:p>
            <w:r>
              <w:rPr>
                <w:rFonts w:ascii="Times New Roman" w:hAnsi="Times New Roman" w:eastAsia="宋体"/>
                <w:sz w:val="21"/>
              </w:rPr>
              <w:t>日历反映空闲、忙碌与饱和，过载可解释延迟</w:t>
            </w:r>
          </w:p>
        </w:tc>
      </w:tr>
      <w:tr>
        <w:tc>
          <w:tcPr>
            <w:tcW w:type="dxa" w:w="2880"/>
          </w:tcPr>
          <w:p>
            <w:r>
              <w:rPr>
                <w:rFonts w:ascii="Times New Roman" w:hAnsi="Times New Roman" w:eastAsia="宋体"/>
                <w:sz w:val="21"/>
              </w:rPr>
              <w:t>可解释输出</w:t>
            </w:r>
          </w:p>
        </w:tc>
        <w:tc>
          <w:tcPr>
            <w:tcW w:type="dxa" w:w="2880"/>
          </w:tcPr>
          <w:p>
            <w:r>
              <w:rPr>
                <w:rFonts w:ascii="Times New Roman" w:hAnsi="Times New Roman" w:eastAsia="宋体"/>
                <w:sz w:val="21"/>
              </w:rPr>
              <w:t>清单、生成方案、时间线、流程图和分析报告同源</w:t>
            </w:r>
          </w:p>
        </w:tc>
        <w:tc>
          <w:tcPr>
            <w:tcW w:type="dxa" w:w="2880"/>
          </w:tcPr>
          <w:p>
            <w:r>
              <w:rPr>
                <w:rFonts w:ascii="Times New Roman" w:hAnsi="Times New Roman" w:eastAsia="宋体"/>
                <w:sz w:val="21"/>
              </w:rPr>
              <w:t>结论可回溯到制度片段、申报字段和闸门结果</w:t>
            </w:r>
          </w:p>
        </w:tc>
      </w:tr>
    </w:tbl>
    <w:p>
      <w:pPr/>
    </w:p>
    <w:p>
      <w:pPr>
        <w:pStyle w:val="31"/>
      </w:pPr>
      <w:r>
        <w:t>平台定位</w:t>
      </w:r>
    </w:p>
    <w:p>
      <w:pPr/>
      <w:r>
        <w:t>OA审批智能体定位为组织的“审批分析中心”，是连接外部制度与法规、内部申报材料、在办负荷和审批决策的核心枢纽。</w:t>
      </w:r>
    </w:p>
    <w:p>
      <w:pPr>
        <w:pStyle w:val="4"/>
      </w:pPr>
      <w:r>
        <w:t>核心能力定位</w:t>
      </w:r>
    </w:p>
    <w:p>
      <w:pPr/>
      <w:r>
        <w:t>外部制度与申报采集处理能力：通过标准化的Skills工具集，实现规章制度解析、申报读取、法规检索和部门容量抽取，为深度分析提供高质量的证据基础。</w:t>
      </w:r>
    </w:p>
    <w:p>
      <w:pPr/>
      <w:r>
        <w:t>深度分析业务能力：基于金额权限、特种作业合规、部门容量和缺件解卡四类传导模型，以及多阶影响推演方法，实现申报差异对审批链和负荷的深度分析，提供科学的决策依据。</w:t>
      </w:r>
    </w:p>
    <w:p>
      <w:pPr>
        <w:pStyle w:val="4"/>
      </w:pPr>
      <w:r>
        <w:t>服务定位</w:t>
      </w:r>
    </w:p>
    <w:p>
      <w:pPr/>
      <w:r>
        <w:t>（1）面向管理层：提供项目群清单、停滞原因和部门忙闲视图，支撑审批节奏和风险判断。</w:t>
      </w:r>
    </w:p>
    <w:p>
      <w:pPr/>
      <w:r>
        <w:t>（2）面向业务部门：提供按单生成的审批方案和材料补传入口，支撑差异化申报。</w:t>
      </w:r>
    </w:p>
    <w:p>
      <w:pPr/>
      <w:r>
        <w:t>（3）面向合规与行政：提供当地限制摘要、缺件清单和制度引用，支撑闸门执行与备案。</w:t>
      </w:r>
    </w:p>
    <w:p>
      <w:pPr>
        <w:pStyle w:val="21"/>
      </w:pPr>
      <w:r>
        <w:t>总体设计理念</w:t>
      </w:r>
    </w:p>
    <w:p>
      <w:pPr>
        <w:pStyle w:val="31"/>
      </w:pPr>
      <w:r>
        <w:t>设计原则</w:t>
      </w:r>
    </w:p>
    <w:p>
      <w:pPr/>
      <w:r>
        <w:t>本方案的总体设计理念是以业务为牵引、以制度与申报为证据、以模型为支撑、以智能体为抓手，构建一套“范式统一、方法科学、工具智能、结果可信”的审批信号传导分析体系。</w:t>
      </w:r>
    </w:p>
    <w:p>
      <w:pPr/>
      <w:r>
        <w:t>范式统一：建立标准化的分析框架和流程，确保不同类型申报、不同分析人员都能遵循一致的分析逻辑，提高路径结果的可比性和可复用性。</w:t>
      </w:r>
    </w:p>
    <w:p>
      <w:pPr/>
      <w:r>
        <w:t>方法科学：综合运用结构化抽取、规则求值、检索增强、负荷计算和情景对照，根据不同任务和证据条件选择最合适的方法组合。</w:t>
      </w:r>
    </w:p>
    <w:p>
      <w:pPr/>
      <w:r>
        <w:t>工具智能：利用大模型和智能体技术，实现从制度学习、申报理解、路径生成到报告解释的自动化。尽可能减少“人填表、人选模板”的干预，提高时效性。</w:t>
      </w:r>
    </w:p>
    <w:p>
      <w:pPr/>
      <w:r>
        <w:t>结果可信：建立质量控制和可信保障机制。所有路径结论都要有明确的制度来源、申报字段和关键假设；金额门槛、缺件判定和容量占用必须由确定性算法给出，不得由模型口算代替。</w:t>
      </w:r>
    </w:p>
    <w:p>
      <w:pPr>
        <w:pStyle w:val="31"/>
      </w:pPr>
      <w:r>
        <w:t>核心设计思想</w:t>
      </w:r>
    </w:p>
    <w:p>
      <w:pPr/>
      <w:r>
        <w:t>本方案采用“大模型做调度、Skills抓数据、算法做分析”的分层解耦架构，彻底解决传统一体化方案中制度耦合、计算不可靠、迭代困难等痛点。</w:t>
      </w:r>
    </w:p>
    <w:p>
      <w:pPr>
        <w:pStyle w:val="4"/>
      </w:pPr>
      <w:r>
        <w:t>三大后台核心角色定位</w:t>
      </w:r>
    </w:p>
    <w:p>
      <w:pPr/>
      <w:r>
        <w:t>（1）大模型（调度中枢）：不做节点拓扑的数值落盘和日历计数，只负责申报理解、任务分发、技能编排、结果汇总解释和自然语言输出。</w:t>
      </w:r>
    </w:p>
    <w:p>
      <w:pPr/>
      <w:r>
        <w:t>（2）Skills工具集（证据入口）：所有规章制度、申报原件、法规检索和部门条款全部封装为独立Skill，负责采集、清洗和标准化输出。</w:t>
      </w:r>
    </w:p>
    <w:p>
      <w:pPr/>
      <w:r>
        <w:t>（3）独立传导算法（计算内核）：只接收标准化的申报要素和制度门槛，执行路径生成、闸门判定、容量占用和停滞诊断，输出结构化指标。</w:t>
      </w:r>
    </w:p>
    <w:p>
      <w:pPr>
        <w:pStyle w:val="4"/>
      </w:pPr>
      <w:r>
        <w:t>解耦设计原则</w:t>
      </w:r>
    </w:p>
    <w:p>
      <w:pPr/>
      <w:r>
        <w:t>职责：每层只做一件事，不跨界、不耦合。</w:t>
      </w:r>
    </w:p>
    <w:p>
      <w:pPr/>
      <w:r>
        <w:t>接口：层与层之间通过标准化对象交互，内部实现可自由替换。</w:t>
      </w:r>
    </w:p>
    <w:p>
      <w:pPr/>
      <w:r>
        <w:t>迭代：证据、算法、调度、输出四层可独立开发、独立发布、独立优化。</w:t>
      </w:r>
    </w:p>
    <w:p>
      <w:pPr/>
      <w:r>
        <w:t>可插拔扩展：新增数据源、新增闸门类型只需新增对应组件，不影响整体架构。</w:t>
      </w:r>
    </w:p>
    <w:p>
      <w:pPr/>
      <w:r>
        <w:t>可观测可排障：分层隔离，问题快速定位，不互相干扰。</w:t>
      </w:r>
    </w:p>
    <w:p>
      <w:pPr>
        <w:pStyle w:val="21"/>
      </w:pPr>
      <w:r>
        <w:t>整体架构</w:t>
      </w:r>
    </w:p>
    <w:p>
      <w:pPr>
        <w:pStyle w:val="31"/>
      </w:pPr>
      <w:r>
        <w:t>四层解耦架构</w:t>
      </w:r>
    </w:p>
    <w:p>
      <w:pPr/>
      <w:r>
        <w:t>本方案采用四层解耦架构设计，从上到下依次为输出层、调度层、工具层和计算层。调度层统一调用工具层的证据能力和计算层的量化分析能力，并将处理结果提供给前端应用输出层。各层职责清晰、接口标准、独立演进，实现了证据、算法、调度的完全解耦。</w:t>
      </w:r>
    </w:p>
    <w:p>
      <w:pPr>
        <w:jc w:val="center"/>
      </w:pPr>
      <w:r>
        <w:drawing>
          <wp:inline xmlns:a="http://schemas.openxmlformats.org/drawingml/2006/main" xmlns:pic="http://schemas.openxmlformats.org/drawingml/2006/picture">
            <wp:extent cx="5256000" cy="2862178"/>
            <wp:docPr id="1" name="Picture 1"/>
            <wp:cNvGraphicFramePr>
              <a:graphicFrameLocks noChangeAspect="1"/>
            </wp:cNvGraphicFramePr>
            <a:graphic>
              <a:graphicData uri="http://schemas.openxmlformats.org/drawingml/2006/picture">
                <pic:pic>
                  <pic:nvPicPr>
                    <pic:cNvPr id="0" name="layer_overview.png"/>
                    <pic:cNvPicPr/>
                  </pic:nvPicPr>
                  <pic:blipFill>
                    <a:blip r:embed="rId22"/>
                    <a:stretch>
                      <a:fillRect/>
                    </a:stretch>
                  </pic:blipFill>
                  <pic:spPr>
                    <a:xfrm>
                      <a:off x="0" y="0"/>
                      <a:ext cx="5256000" cy="2862178"/>
                    </a:xfrm>
                    <a:prstGeom prst="rect"/>
                  </pic:spPr>
                </pic:pic>
              </a:graphicData>
            </a:graphic>
          </wp:inline>
        </w:drawing>
      </w:r>
    </w:p>
    <w:p>
      <w:pPr>
        <w:pStyle w:val="a7"/>
      </w:pPr>
      <w:r>
        <w:t>图  四层解耦架构总览</w:t>
      </w:r>
    </w:p>
    <w:p>
      <w:pPr>
        <w:pStyle w:val="a7"/>
      </w:pPr>
      <w:r>
        <w:t>表  四层架构职责</w:t>
      </w:r>
    </w:p>
    <w:tbl>
      <w:tblPr>
        <w:tblStyle w:val="af4"/>
        <w:tblW w:type="auto" w:w="0"/>
        <w:tblLayout w:type="autofit"/>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黑体"/>
                <w:b/>
                <w:sz w:val="21"/>
              </w:rPr>
              <w:t>层级</w:t>
            </w:r>
          </w:p>
        </w:tc>
        <w:tc>
          <w:tcPr>
            <w:tcW w:type="dxa" w:w="2160"/>
          </w:tcPr>
          <w:p>
            <w:r>
              <w:rPr>
                <w:rFonts w:ascii="Times New Roman" w:hAnsi="Times New Roman" w:eastAsia="黑体"/>
                <w:b/>
                <w:sz w:val="21"/>
              </w:rPr>
              <w:t>核心组件</w:t>
            </w:r>
          </w:p>
        </w:tc>
        <w:tc>
          <w:tcPr>
            <w:tcW w:type="dxa" w:w="2160"/>
          </w:tcPr>
          <w:p>
            <w:r>
              <w:rPr>
                <w:rFonts w:ascii="Times New Roman" w:hAnsi="Times New Roman" w:eastAsia="黑体"/>
                <w:b/>
                <w:sz w:val="21"/>
              </w:rPr>
              <w:t>主要职责</w:t>
            </w:r>
          </w:p>
        </w:tc>
        <w:tc>
          <w:tcPr>
            <w:tcW w:type="dxa" w:w="2160"/>
          </w:tcPr>
          <w:p>
            <w:r>
              <w:rPr>
                <w:rFonts w:ascii="Times New Roman" w:hAnsi="Times New Roman" w:eastAsia="黑体"/>
                <w:b/>
                <w:sz w:val="21"/>
              </w:rPr>
              <w:t>技术特点</w:t>
            </w:r>
          </w:p>
        </w:tc>
      </w:tr>
      <w:tr>
        <w:tc>
          <w:tcPr>
            <w:tcW w:type="dxa" w:w="2160"/>
          </w:tcPr>
          <w:p>
            <w:r>
              <w:rPr>
                <w:rFonts w:ascii="Times New Roman" w:hAnsi="Times New Roman" w:eastAsia="宋体"/>
                <w:sz w:val="21"/>
              </w:rPr>
              <w:t>应用输出层</w:t>
            </w:r>
          </w:p>
        </w:tc>
        <w:tc>
          <w:tcPr>
            <w:tcW w:type="dxa" w:w="2160"/>
          </w:tcPr>
          <w:p>
            <w:r>
              <w:rPr>
                <w:rFonts w:ascii="Times New Roman" w:hAnsi="Times New Roman" w:eastAsia="宋体"/>
                <w:sz w:val="21"/>
              </w:rPr>
              <w:t>项目群清单、日历、生成方案、时间线、流程图、分析报告</w:t>
            </w:r>
          </w:p>
        </w:tc>
        <w:tc>
          <w:tcPr>
            <w:tcW w:type="dxa" w:w="2160"/>
          </w:tcPr>
          <w:p>
            <w:r>
              <w:rPr>
                <w:rFonts w:ascii="Times New Roman" w:hAnsi="Times New Roman" w:eastAsia="宋体"/>
                <w:sz w:val="21"/>
              </w:rPr>
              <w:t>把结构化结果翻译为业务可读界面</w:t>
            </w:r>
          </w:p>
        </w:tc>
        <w:tc>
          <w:tcPr>
            <w:tcW w:type="dxa" w:w="2160"/>
          </w:tcPr>
          <w:p>
            <w:r>
              <w:rPr>
                <w:rFonts w:ascii="Times New Roman" w:hAnsi="Times New Roman" w:eastAsia="宋体"/>
                <w:sz w:val="21"/>
              </w:rPr>
              <w:t>只展示、不改写计算内核</w:t>
            </w:r>
          </w:p>
        </w:tc>
      </w:tr>
      <w:tr>
        <w:tc>
          <w:tcPr>
            <w:tcW w:type="dxa" w:w="2160"/>
          </w:tcPr>
          <w:p>
            <w:r>
              <w:rPr>
                <w:rFonts w:ascii="Times New Roman" w:hAnsi="Times New Roman" w:eastAsia="宋体"/>
                <w:sz w:val="21"/>
              </w:rPr>
              <w:t>领域大模型调度层</w:t>
            </w:r>
          </w:p>
        </w:tc>
        <w:tc>
          <w:tcPr>
            <w:tcW w:type="dxa" w:w="2160"/>
          </w:tcPr>
          <w:p>
            <w:r>
              <w:rPr>
                <w:rFonts w:ascii="Times New Roman" w:hAnsi="Times New Roman" w:eastAsia="宋体"/>
                <w:sz w:val="21"/>
              </w:rPr>
              <w:t>制度学习编排、申报生成编排、材料补充重审、报告生成</w:t>
            </w:r>
          </w:p>
        </w:tc>
        <w:tc>
          <w:tcPr>
            <w:tcW w:type="dxa" w:w="2160"/>
          </w:tcPr>
          <w:p>
            <w:r>
              <w:rPr>
                <w:rFonts w:ascii="Times New Roman" w:hAnsi="Times New Roman" w:eastAsia="宋体"/>
                <w:sz w:val="21"/>
              </w:rPr>
              <w:t>意图拆解、Skill编排、参数组装、结果解释</w:t>
            </w:r>
          </w:p>
        </w:tc>
        <w:tc>
          <w:tcPr>
            <w:tcW w:type="dxa" w:w="2160"/>
          </w:tcPr>
          <w:p>
            <w:r>
              <w:rPr>
                <w:rFonts w:ascii="Times New Roman" w:hAnsi="Times New Roman" w:eastAsia="宋体"/>
                <w:sz w:val="21"/>
              </w:rPr>
              <w:t>只做语义和逻辑，不做闸门与容量的最终数值</w:t>
            </w:r>
          </w:p>
        </w:tc>
      </w:tr>
      <w:tr>
        <w:tc>
          <w:tcPr>
            <w:tcW w:type="dxa" w:w="2160"/>
          </w:tcPr>
          <w:p>
            <w:r>
              <w:rPr>
                <w:rFonts w:ascii="Times New Roman" w:hAnsi="Times New Roman" w:eastAsia="宋体"/>
                <w:sz w:val="21"/>
              </w:rPr>
              <w:t>Skills工具层</w:t>
            </w:r>
          </w:p>
        </w:tc>
        <w:tc>
          <w:tcPr>
            <w:tcW w:type="dxa" w:w="2160"/>
          </w:tcPr>
          <w:p>
            <w:r>
              <w:rPr>
                <w:rFonts w:ascii="Times New Roman" w:hAnsi="Times New Roman" w:eastAsia="宋体"/>
                <w:sz w:val="21"/>
              </w:rPr>
              <w:t>制度解析、申报读取、检索、联网查法、部门抽取</w:t>
            </w:r>
          </w:p>
        </w:tc>
        <w:tc>
          <w:tcPr>
            <w:tcW w:type="dxa" w:w="2160"/>
          </w:tcPr>
          <w:p>
            <w:r>
              <w:rPr>
                <w:rFonts w:ascii="Times New Roman" w:hAnsi="Times New Roman" w:eastAsia="宋体"/>
                <w:sz w:val="21"/>
              </w:rPr>
              <w:t>把PDF和网页变成结构化证据</w:t>
            </w:r>
          </w:p>
        </w:tc>
        <w:tc>
          <w:tcPr>
            <w:tcW w:type="dxa" w:w="2160"/>
          </w:tcPr>
          <w:p>
            <w:r>
              <w:rPr>
                <w:rFonts w:ascii="Times New Roman" w:hAnsi="Times New Roman" w:eastAsia="宋体"/>
                <w:sz w:val="21"/>
              </w:rPr>
              <w:t>可插拔、可扩展、失败可降级</w:t>
            </w:r>
          </w:p>
        </w:tc>
      </w:tr>
      <w:tr>
        <w:tc>
          <w:tcPr>
            <w:tcW w:type="dxa" w:w="2160"/>
          </w:tcPr>
          <w:p>
            <w:r>
              <w:rPr>
                <w:rFonts w:ascii="Times New Roman" w:hAnsi="Times New Roman" w:eastAsia="宋体"/>
                <w:sz w:val="21"/>
              </w:rPr>
              <w:t>确定性计算层</w:t>
            </w:r>
          </w:p>
        </w:tc>
        <w:tc>
          <w:tcPr>
            <w:tcW w:type="dxa" w:w="2160"/>
          </w:tcPr>
          <w:p>
            <w:r>
              <w:rPr>
                <w:rFonts w:ascii="Times New Roman" w:hAnsi="Times New Roman" w:eastAsia="宋体"/>
                <w:sz w:val="21"/>
              </w:rPr>
              <w:t>路径求值、金额门槛、合规插入、负荷日历、停滞诊断</w:t>
            </w:r>
          </w:p>
        </w:tc>
        <w:tc>
          <w:tcPr>
            <w:tcW w:type="dxa" w:w="2160"/>
          </w:tcPr>
          <w:p>
            <w:r>
              <w:rPr>
                <w:rFonts w:ascii="Times New Roman" w:hAnsi="Times New Roman" w:eastAsia="宋体"/>
                <w:sz w:val="21"/>
              </w:rPr>
              <w:t>相同输入得到相同路径和闸门结果</w:t>
            </w:r>
          </w:p>
        </w:tc>
        <w:tc>
          <w:tcPr>
            <w:tcW w:type="dxa" w:w="2160"/>
          </w:tcPr>
          <w:p>
            <w:r>
              <w:rPr>
                <w:rFonts w:ascii="Times New Roman" w:hAnsi="Times New Roman" w:eastAsia="宋体"/>
                <w:sz w:val="21"/>
              </w:rPr>
              <w:t>纯规则与计数，过程可复现</w:t>
            </w:r>
          </w:p>
        </w:tc>
      </w:tr>
    </w:tbl>
    <w:p>
      <w:pPr/>
    </w:p>
    <w:p>
      <w:pPr>
        <w:pStyle w:val="31"/>
      </w:pPr>
      <w:r>
        <w:t>特点</w:t>
      </w:r>
    </w:p>
    <w:p>
      <w:pPr/>
      <w:r>
        <w:t>本技术架构具有五个核心特点，这些特点确保了系统的科学性、实用性和可扩展性。</w:t>
      </w:r>
    </w:p>
    <w:p>
      <w:pPr/>
      <w:r>
        <w:t>（1）外部制度与内部在办结合</w:t>
      </w:r>
    </w:p>
    <w:p>
      <w:pPr/>
      <w:r>
        <w:t>不只判断制度写了什么，还判断企业真实负荷暴露。传统的流程配置往往只关注节点名称，而不考虑部门当日已占用的并行容量。但实际上，相同的申报对空闲部门和饱和部门的影响差异很大。本架构将规章制度与内部在办事项紧密结合，不仅分析“制度要求什么”，更分析“这对当前部门意味着什么”，从而提供更有针对性的决策支持。</w:t>
      </w:r>
    </w:p>
    <w:p>
      <w:pPr/>
      <w:r>
        <w:t>（2）路径解释与量化闸门结合</w:t>
      </w:r>
    </w:p>
    <w:p>
      <w:pPr/>
      <w:r>
        <w:t>前者解释“为什么和经过哪里”，后者计算“是否卡住和延迟多久”。自然语言方案擅长描述关系和依据，能够展示路径机制，让结果具有可解释性；确定性算法擅长门槛比较、缺件判定和负荷计数，能够给出明确的闸门结果。两者结合，既保证分析的深度，又保证执行的可靠性。</w:t>
      </w:r>
    </w:p>
    <w:p>
      <w:pPr/>
      <w:r>
        <w:t>（3）大模型与专业模型结合</w:t>
      </w:r>
    </w:p>
    <w:p>
      <w:pPr/>
      <w:r>
        <w:t>大模型负责理解、规划和解释，专业模型负责路径求值和闸门运算。大模型能够理解复杂申报，制定分析计划，解释分析结果；专业模型具有稳定的规则基础，能够进行严谨的节点插入和容量计算。两者结合，既发挥大模型的灵活性，又保证专业模型的准确性和可审计性。</w:t>
      </w:r>
    </w:p>
    <w:p>
      <w:pPr/>
      <w:r>
        <w:t>（4）统一范式与场景适配结合</w:t>
      </w:r>
    </w:p>
    <w:p>
      <w:pPr/>
      <w:r>
        <w:t>流程统一，但不同申报使用不同门槛、设备和容量条件。统一的分析范式确保规范性和一致性，便于结果比较；场景适配确保针对性，高额无人机立项与低额内部工具立项使用不同的路径组合。既有统一框架，又有灵活适配。</w:t>
      </w:r>
    </w:p>
    <w:p>
      <w:pPr/>
      <w:r>
        <w:t>（5）自动分析与人工责任边界结合</w:t>
      </w:r>
    </w:p>
    <w:p>
      <w:pPr/>
      <w:r>
        <w:t>提高效率，同时保留重大审批的人工责任边界。智能体能够自动完成材料读取、路径生成和缺件提示；对于总经理、董事长等关键审定，仍然由相应岗位完成判断。这样既发挥机器的效率优势，又保证决策的责任清晰。人机协同，各展所长。</w:t>
      </w:r>
    </w:p>
    <w:p>
      <w:pPr>
        <w:pStyle w:val="1"/>
      </w:pPr>
      <w:r>
        <w:t>体系</w:t>
      </w:r>
    </w:p>
    <w:p>
      <w:pPr>
        <w:pStyle w:val="21"/>
      </w:pPr>
      <w:r>
        <w:t>外部数据采集处理</w:t>
      </w:r>
    </w:p>
    <w:p>
      <w:pPr>
        <w:pStyle w:val="31"/>
      </w:pPr>
      <w:r>
        <w:t>数据分类体系</w:t>
      </w:r>
    </w:p>
    <w:p>
      <w:pPr/>
      <w:r>
        <w:t>制度文本、申报材料和在办状态是开展传导分析的基础。本方案构建了覆盖审批全链路的证据数据体系，既要包含外部公开法规与内部规章制度，也要接入申报原件、补传材料和部门负荷。外部法规用于解释当地限制，内部制度用于解释权限和容量，申报材料用于判断本单真实暴露程度。</w:t>
      </w:r>
    </w:p>
    <w:p>
      <w:pPr/>
      <w:r>
        <w:t>审批相关数据主要分为八大类，每类数据都有其特定的指标、形式、更新频率和分析用途。</w:t>
      </w:r>
    </w:p>
    <w:p>
      <w:pPr>
        <w:pStyle w:val="a7"/>
      </w:pPr>
      <w:r>
        <w:t>表  外部与内部证据数据分类体系</w:t>
      </w:r>
    </w:p>
    <w:tbl>
      <w:tblPr>
        <w:tblStyle w:val="af4"/>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黑体"/>
                <w:b/>
                <w:sz w:val="21"/>
              </w:rPr>
              <w:t>数据类别</w:t>
            </w:r>
          </w:p>
        </w:tc>
        <w:tc>
          <w:tcPr>
            <w:tcW w:type="dxa" w:w="1728"/>
          </w:tcPr>
          <w:p>
            <w:r>
              <w:rPr>
                <w:rFonts w:ascii="Times New Roman" w:hAnsi="Times New Roman" w:eastAsia="黑体"/>
                <w:b/>
                <w:sz w:val="21"/>
              </w:rPr>
              <w:t>典型指标或事件</w:t>
            </w:r>
          </w:p>
        </w:tc>
        <w:tc>
          <w:tcPr>
            <w:tcW w:type="dxa" w:w="1728"/>
          </w:tcPr>
          <w:p>
            <w:r>
              <w:rPr>
                <w:rFonts w:ascii="Times New Roman" w:hAnsi="Times New Roman" w:eastAsia="黑体"/>
                <w:b/>
                <w:sz w:val="21"/>
              </w:rPr>
              <w:t>数据形式</w:t>
            </w:r>
          </w:p>
        </w:tc>
        <w:tc>
          <w:tcPr>
            <w:tcW w:type="dxa" w:w="1728"/>
          </w:tcPr>
          <w:p>
            <w:r>
              <w:rPr>
                <w:rFonts w:ascii="Times New Roman" w:hAnsi="Times New Roman" w:eastAsia="黑体"/>
                <w:b/>
                <w:sz w:val="21"/>
              </w:rPr>
              <w:t>更新频率</w:t>
            </w:r>
          </w:p>
        </w:tc>
        <w:tc>
          <w:tcPr>
            <w:tcW w:type="dxa" w:w="1728"/>
          </w:tcPr>
          <w:p>
            <w:r>
              <w:rPr>
                <w:rFonts w:ascii="Times New Roman" w:hAnsi="Times New Roman" w:eastAsia="黑体"/>
                <w:b/>
                <w:sz w:val="21"/>
              </w:rPr>
              <w:t>主要影响环节</w:t>
            </w:r>
          </w:p>
        </w:tc>
      </w:tr>
      <w:tr>
        <w:tc>
          <w:tcPr>
            <w:tcW w:type="dxa" w:w="1728"/>
          </w:tcPr>
          <w:p>
            <w:r>
              <w:rPr>
                <w:rFonts w:ascii="Times New Roman" w:hAnsi="Times New Roman" w:eastAsia="宋体"/>
                <w:sz w:val="21"/>
              </w:rPr>
              <w:t>规章制度</w:t>
            </w:r>
          </w:p>
        </w:tc>
        <w:tc>
          <w:tcPr>
            <w:tcW w:type="dxa" w:w="1728"/>
          </w:tcPr>
          <w:p>
            <w:r>
              <w:rPr>
                <w:rFonts w:ascii="Times New Roman" w:hAnsi="Times New Roman" w:eastAsia="宋体"/>
                <w:sz w:val="21"/>
              </w:rPr>
              <w:t>审批权限、时限、并行工作数</w:t>
            </w:r>
          </w:p>
        </w:tc>
        <w:tc>
          <w:tcPr>
            <w:tcW w:type="dxa" w:w="1728"/>
          </w:tcPr>
          <w:p>
            <w:r>
              <w:rPr>
                <w:rFonts w:ascii="Times New Roman" w:hAnsi="Times New Roman" w:eastAsia="宋体"/>
                <w:sz w:val="21"/>
              </w:rPr>
              <w:t>PDF管理办法</w:t>
            </w:r>
          </w:p>
        </w:tc>
        <w:tc>
          <w:tcPr>
            <w:tcW w:type="dxa" w:w="1728"/>
          </w:tcPr>
          <w:p>
            <w:r>
              <w:rPr>
                <w:rFonts w:ascii="Times New Roman" w:hAnsi="Times New Roman" w:eastAsia="宋体"/>
                <w:sz w:val="21"/>
              </w:rPr>
              <w:t>制度修订时</w:t>
            </w:r>
          </w:p>
        </w:tc>
        <w:tc>
          <w:tcPr>
            <w:tcW w:type="dxa" w:w="1728"/>
          </w:tcPr>
          <w:p>
            <w:r>
              <w:rPr>
                <w:rFonts w:ascii="Times New Roman" w:hAnsi="Times New Roman" w:eastAsia="宋体"/>
                <w:sz w:val="21"/>
              </w:rPr>
              <w:t>路径底稿、部门日历</w:t>
            </w:r>
          </w:p>
        </w:tc>
      </w:tr>
      <w:tr>
        <w:tc>
          <w:tcPr>
            <w:tcW w:type="dxa" w:w="1728"/>
          </w:tcPr>
          <w:p>
            <w:r>
              <w:rPr>
                <w:rFonts w:ascii="Times New Roman" w:hAnsi="Times New Roman" w:eastAsia="宋体"/>
                <w:sz w:val="21"/>
              </w:rPr>
              <w:t>申报材料</w:t>
            </w:r>
          </w:p>
        </w:tc>
        <w:tc>
          <w:tcPr>
            <w:tcW w:type="dxa" w:w="1728"/>
          </w:tcPr>
          <w:p>
            <w:r>
              <w:rPr>
                <w:rFonts w:ascii="Times New Roman" w:hAnsi="Times New Roman" w:eastAsia="宋体"/>
                <w:sz w:val="21"/>
              </w:rPr>
              <w:t>项目名称、金额、城市、设备</w:t>
            </w:r>
          </w:p>
        </w:tc>
        <w:tc>
          <w:tcPr>
            <w:tcW w:type="dxa" w:w="1728"/>
          </w:tcPr>
          <w:p>
            <w:r>
              <w:rPr>
                <w:rFonts w:ascii="Times New Roman" w:hAnsi="Times New Roman" w:eastAsia="宋体"/>
                <w:sz w:val="21"/>
              </w:rPr>
              <w:t>立项书、说明书</w:t>
            </w:r>
          </w:p>
        </w:tc>
        <w:tc>
          <w:tcPr>
            <w:tcW w:type="dxa" w:w="1728"/>
          </w:tcPr>
          <w:p>
            <w:r>
              <w:rPr>
                <w:rFonts w:ascii="Times New Roman" w:hAnsi="Times New Roman" w:eastAsia="宋体"/>
                <w:sz w:val="21"/>
              </w:rPr>
              <w:t>每次提交</w:t>
            </w:r>
          </w:p>
        </w:tc>
        <w:tc>
          <w:tcPr>
            <w:tcW w:type="dxa" w:w="1728"/>
          </w:tcPr>
          <w:p>
            <w:r>
              <w:rPr>
                <w:rFonts w:ascii="Times New Roman" w:hAnsi="Times New Roman" w:eastAsia="宋体"/>
                <w:sz w:val="21"/>
              </w:rPr>
              <w:t>路径生成起点</w:t>
            </w:r>
          </w:p>
        </w:tc>
      </w:tr>
      <w:tr>
        <w:tc>
          <w:tcPr>
            <w:tcW w:type="dxa" w:w="1728"/>
          </w:tcPr>
          <w:p>
            <w:r>
              <w:rPr>
                <w:rFonts w:ascii="Times New Roman" w:hAnsi="Times New Roman" w:eastAsia="宋体"/>
                <w:sz w:val="21"/>
              </w:rPr>
              <w:t>金额与权限</w:t>
            </w:r>
          </w:p>
        </w:tc>
        <w:tc>
          <w:tcPr>
            <w:tcW w:type="dxa" w:w="1728"/>
          </w:tcPr>
          <w:p>
            <w:r>
              <w:rPr>
                <w:rFonts w:ascii="Times New Roman" w:hAnsi="Times New Roman" w:eastAsia="宋体"/>
                <w:sz w:val="21"/>
              </w:rPr>
              <w:t>立项门槛、是否过线</w:t>
            </w:r>
          </w:p>
        </w:tc>
        <w:tc>
          <w:tcPr>
            <w:tcW w:type="dxa" w:w="1728"/>
          </w:tcPr>
          <w:p>
            <w:r>
              <w:rPr>
                <w:rFonts w:ascii="Times New Roman" w:hAnsi="Times New Roman" w:eastAsia="宋体"/>
                <w:sz w:val="21"/>
              </w:rPr>
              <w:t>条款与抽取结果</w:t>
            </w:r>
          </w:p>
        </w:tc>
        <w:tc>
          <w:tcPr>
            <w:tcW w:type="dxa" w:w="1728"/>
          </w:tcPr>
          <w:p>
            <w:r>
              <w:rPr>
                <w:rFonts w:ascii="Times New Roman" w:hAnsi="Times New Roman" w:eastAsia="宋体"/>
                <w:sz w:val="21"/>
              </w:rPr>
              <w:t>随制度与申报</w:t>
            </w:r>
          </w:p>
        </w:tc>
        <w:tc>
          <w:tcPr>
            <w:tcW w:type="dxa" w:w="1728"/>
          </w:tcPr>
          <w:p>
            <w:r>
              <w:rPr>
                <w:rFonts w:ascii="Times New Roman" w:hAnsi="Times New Roman" w:eastAsia="宋体"/>
                <w:sz w:val="21"/>
              </w:rPr>
              <w:t>总经理/董事长节点</w:t>
            </w:r>
          </w:p>
        </w:tc>
      </w:tr>
      <w:tr>
        <w:tc>
          <w:tcPr>
            <w:tcW w:type="dxa" w:w="1728"/>
          </w:tcPr>
          <w:p>
            <w:r>
              <w:rPr>
                <w:rFonts w:ascii="Times New Roman" w:hAnsi="Times New Roman" w:eastAsia="宋体"/>
                <w:sz w:val="21"/>
              </w:rPr>
              <w:t>特种作业限制</w:t>
            </w:r>
          </w:p>
        </w:tc>
        <w:tc>
          <w:tcPr>
            <w:tcW w:type="dxa" w:w="1728"/>
          </w:tcPr>
          <w:p>
            <w:r>
              <w:rPr>
                <w:rFonts w:ascii="Times New Roman" w:hAnsi="Times New Roman" w:eastAsia="宋体"/>
                <w:sz w:val="21"/>
              </w:rPr>
              <w:t>无人机、空域、中心城区</w:t>
            </w:r>
          </w:p>
        </w:tc>
        <w:tc>
          <w:tcPr>
            <w:tcW w:type="dxa" w:w="1728"/>
          </w:tcPr>
          <w:p>
            <w:r>
              <w:rPr>
                <w:rFonts w:ascii="Times New Roman" w:hAnsi="Times New Roman" w:eastAsia="宋体"/>
                <w:sz w:val="21"/>
              </w:rPr>
              <w:t>申报正文与法规摘要</w:t>
            </w:r>
          </w:p>
        </w:tc>
        <w:tc>
          <w:tcPr>
            <w:tcW w:type="dxa" w:w="1728"/>
          </w:tcPr>
          <w:p>
            <w:r>
              <w:rPr>
                <w:rFonts w:ascii="Times New Roman" w:hAnsi="Times New Roman" w:eastAsia="宋体"/>
                <w:sz w:val="21"/>
              </w:rPr>
              <w:t>每次审查</w:t>
            </w:r>
          </w:p>
        </w:tc>
        <w:tc>
          <w:tcPr>
            <w:tcW w:type="dxa" w:w="1728"/>
          </w:tcPr>
          <w:p>
            <w:r>
              <w:rPr>
                <w:rFonts w:ascii="Times New Roman" w:hAnsi="Times New Roman" w:eastAsia="宋体"/>
                <w:sz w:val="21"/>
              </w:rPr>
              <w:t>合规节点与闸门</w:t>
            </w:r>
          </w:p>
        </w:tc>
      </w:tr>
      <w:tr>
        <w:tc>
          <w:tcPr>
            <w:tcW w:type="dxa" w:w="1728"/>
          </w:tcPr>
          <w:p>
            <w:r>
              <w:rPr>
                <w:rFonts w:ascii="Times New Roman" w:hAnsi="Times New Roman" w:eastAsia="宋体"/>
                <w:sz w:val="21"/>
              </w:rPr>
              <w:t>报备附件</w:t>
            </w:r>
          </w:p>
        </w:tc>
        <w:tc>
          <w:tcPr>
            <w:tcW w:type="dxa" w:w="1728"/>
          </w:tcPr>
          <w:p>
            <w:r>
              <w:rPr>
                <w:rFonts w:ascii="Times New Roman" w:hAnsi="Times New Roman" w:eastAsia="宋体"/>
                <w:sz w:val="21"/>
              </w:rPr>
              <w:t>飞行活动申请、空域批准</w:t>
            </w:r>
          </w:p>
        </w:tc>
        <w:tc>
          <w:tcPr>
            <w:tcW w:type="dxa" w:w="1728"/>
          </w:tcPr>
          <w:p>
            <w:r>
              <w:rPr>
                <w:rFonts w:ascii="Times New Roman" w:hAnsi="Times New Roman" w:eastAsia="宋体"/>
                <w:sz w:val="21"/>
              </w:rPr>
              <w:t>附件文件名与正文</w:t>
            </w:r>
          </w:p>
        </w:tc>
        <w:tc>
          <w:tcPr>
            <w:tcW w:type="dxa" w:w="1728"/>
          </w:tcPr>
          <w:p>
            <w:r>
              <w:rPr>
                <w:rFonts w:ascii="Times New Roman" w:hAnsi="Times New Roman" w:eastAsia="宋体"/>
                <w:sz w:val="21"/>
              </w:rPr>
              <w:t>提交与补传</w:t>
            </w:r>
          </w:p>
        </w:tc>
        <w:tc>
          <w:tcPr>
            <w:tcW w:type="dxa" w:w="1728"/>
          </w:tcPr>
          <w:p>
            <w:r>
              <w:rPr>
                <w:rFonts w:ascii="Times New Roman" w:hAnsi="Times New Roman" w:eastAsia="宋体"/>
                <w:sz w:val="21"/>
              </w:rPr>
              <w:t>缺件停滞</w:t>
            </w:r>
          </w:p>
        </w:tc>
      </w:tr>
      <w:tr>
        <w:tc>
          <w:tcPr>
            <w:tcW w:type="dxa" w:w="1728"/>
          </w:tcPr>
          <w:p>
            <w:r>
              <w:rPr>
                <w:rFonts w:ascii="Times New Roman" w:hAnsi="Times New Roman" w:eastAsia="宋体"/>
                <w:sz w:val="21"/>
              </w:rPr>
              <w:t>组织与容量</w:t>
            </w:r>
          </w:p>
        </w:tc>
        <w:tc>
          <w:tcPr>
            <w:tcW w:type="dxa" w:w="1728"/>
          </w:tcPr>
          <w:p>
            <w:r>
              <w:rPr>
                <w:rFonts w:ascii="Times New Roman" w:hAnsi="Times New Roman" w:eastAsia="宋体"/>
                <w:sz w:val="21"/>
              </w:rPr>
              <w:t>部门名称、并行上限、在办数</w:t>
            </w:r>
          </w:p>
        </w:tc>
        <w:tc>
          <w:tcPr>
            <w:tcW w:type="dxa" w:w="1728"/>
          </w:tcPr>
          <w:p>
            <w:r>
              <w:rPr>
                <w:rFonts w:ascii="Times New Roman" w:hAnsi="Times New Roman" w:eastAsia="宋体"/>
                <w:sz w:val="21"/>
              </w:rPr>
              <w:t>部门主数据</w:t>
            </w:r>
          </w:p>
        </w:tc>
        <w:tc>
          <w:tcPr>
            <w:tcW w:type="dxa" w:w="1728"/>
          </w:tcPr>
          <w:p>
            <w:r>
              <w:rPr>
                <w:rFonts w:ascii="Times New Roman" w:hAnsi="Times New Roman" w:eastAsia="宋体"/>
                <w:sz w:val="21"/>
              </w:rPr>
              <w:t>制度学习后</w:t>
            </w:r>
          </w:p>
        </w:tc>
        <w:tc>
          <w:tcPr>
            <w:tcW w:type="dxa" w:w="1728"/>
          </w:tcPr>
          <w:p>
            <w:r>
              <w:rPr>
                <w:rFonts w:ascii="Times New Roman" w:hAnsi="Times New Roman" w:eastAsia="宋体"/>
                <w:sz w:val="21"/>
              </w:rPr>
              <w:t>日历与过载延迟</w:t>
            </w:r>
          </w:p>
        </w:tc>
      </w:tr>
      <w:tr>
        <w:tc>
          <w:tcPr>
            <w:tcW w:type="dxa" w:w="1728"/>
          </w:tcPr>
          <w:p>
            <w:r>
              <w:rPr>
                <w:rFonts w:ascii="Times New Roman" w:hAnsi="Times New Roman" w:eastAsia="宋体"/>
                <w:sz w:val="21"/>
              </w:rPr>
              <w:t>审批实例</w:t>
            </w:r>
          </w:p>
        </w:tc>
        <w:tc>
          <w:tcPr>
            <w:tcW w:type="dxa" w:w="1728"/>
          </w:tcPr>
          <w:p>
            <w:r>
              <w:rPr>
                <w:rFonts w:ascii="Times New Roman" w:hAnsi="Times New Roman" w:eastAsia="宋体"/>
                <w:sz w:val="21"/>
              </w:rPr>
              <w:t>当前节点、状态、停滞码</w:t>
            </w:r>
          </w:p>
        </w:tc>
        <w:tc>
          <w:tcPr>
            <w:tcW w:type="dxa" w:w="1728"/>
          </w:tcPr>
          <w:p>
            <w:r>
              <w:rPr>
                <w:rFonts w:ascii="Times New Roman" w:hAnsi="Times New Roman" w:eastAsia="宋体"/>
                <w:sz w:val="21"/>
              </w:rPr>
              <w:t>在办记录</w:t>
            </w:r>
          </w:p>
        </w:tc>
        <w:tc>
          <w:tcPr>
            <w:tcW w:type="dxa" w:w="1728"/>
          </w:tcPr>
          <w:p>
            <w:r>
              <w:rPr>
                <w:rFonts w:ascii="Times New Roman" w:hAnsi="Times New Roman" w:eastAsia="宋体"/>
                <w:sz w:val="21"/>
              </w:rPr>
              <w:t>实时</w:t>
            </w:r>
          </w:p>
        </w:tc>
        <w:tc>
          <w:tcPr>
            <w:tcW w:type="dxa" w:w="1728"/>
          </w:tcPr>
          <w:p>
            <w:r>
              <w:rPr>
                <w:rFonts w:ascii="Times New Roman" w:hAnsi="Times New Roman" w:eastAsia="宋体"/>
                <w:sz w:val="21"/>
              </w:rPr>
              <w:t>清单与时间线</w:t>
            </w:r>
          </w:p>
        </w:tc>
      </w:tr>
      <w:tr>
        <w:tc>
          <w:tcPr>
            <w:tcW w:type="dxa" w:w="1728"/>
          </w:tcPr>
          <w:p>
            <w:r>
              <w:rPr>
                <w:rFonts w:ascii="Times New Roman" w:hAnsi="Times New Roman" w:eastAsia="宋体"/>
                <w:sz w:val="21"/>
              </w:rPr>
              <w:t>法规检索</w:t>
            </w:r>
          </w:p>
        </w:tc>
        <w:tc>
          <w:tcPr>
            <w:tcW w:type="dxa" w:w="1728"/>
          </w:tcPr>
          <w:p>
            <w:r>
              <w:rPr>
                <w:rFonts w:ascii="Times New Roman" w:hAnsi="Times New Roman" w:eastAsia="宋体"/>
                <w:sz w:val="21"/>
              </w:rPr>
              <w:t>当地限制摘要、来源</w:t>
            </w:r>
          </w:p>
        </w:tc>
        <w:tc>
          <w:tcPr>
            <w:tcW w:type="dxa" w:w="1728"/>
          </w:tcPr>
          <w:p>
            <w:r>
              <w:rPr>
                <w:rFonts w:ascii="Times New Roman" w:hAnsi="Times New Roman" w:eastAsia="宋体"/>
                <w:sz w:val="21"/>
              </w:rPr>
              <w:t>检索结果</w:t>
            </w:r>
          </w:p>
        </w:tc>
        <w:tc>
          <w:tcPr>
            <w:tcW w:type="dxa" w:w="1728"/>
          </w:tcPr>
          <w:p>
            <w:r>
              <w:rPr>
                <w:rFonts w:ascii="Times New Roman" w:hAnsi="Times New Roman" w:eastAsia="宋体"/>
                <w:sz w:val="21"/>
              </w:rPr>
              <w:t>审查时</w:t>
            </w:r>
          </w:p>
        </w:tc>
        <w:tc>
          <w:tcPr>
            <w:tcW w:type="dxa" w:w="1728"/>
          </w:tcPr>
          <w:p>
            <w:r>
              <w:rPr>
                <w:rFonts w:ascii="Times New Roman" w:hAnsi="Times New Roman" w:eastAsia="宋体"/>
                <w:sz w:val="21"/>
              </w:rPr>
              <w:t>合规解释</w:t>
            </w:r>
          </w:p>
        </w:tc>
      </w:tr>
    </w:tbl>
    <w:p>
      <w:pPr/>
    </w:p>
    <w:p>
      <w:pPr/>
      <w:r>
        <w:t>需要特别强调的是，相同的制度条款对不同申报的实际影响可能差异很大。例如，同样写有无人机作业，对“不涉及无人机”的内部工具立项与“北京中心城区航拍且未附报备”的立项，影响其实不相同。因此，外部制度必须与本单申报材料结合分析，才能准确评估真实合规暴露程度。</w:t>
      </w:r>
    </w:p>
    <w:p>
      <w:pPr>
        <w:pStyle w:val="31"/>
      </w:pPr>
      <w:r>
        <w:t>数据治理体系</w:t>
      </w:r>
    </w:p>
    <w:p>
      <w:pPr/>
      <w:r>
        <w:t>数据治理是确保证据质量和分析结果可信的基础保障。由于制度、申报、法规和在办状态来源多样、格式各异，必须建立完善的数据治理体系，实现统一管理和质量控制。</w:t>
      </w:r>
    </w:p>
    <w:p>
      <w:pPr>
        <w:pStyle w:val="4"/>
      </w:pPr>
      <w:r>
        <w:t>统一时间</w:t>
      </w:r>
    </w:p>
    <w:p>
      <w:pPr/>
      <w:r>
        <w:t>处理提交时刻、节点时限、工作日延迟和补传时刻的差异。需要建立统一的时间轴，将申报提交、节点占用和日历负荷对齐到相同的工作日粒度，便于进行关联分析和模型计算。</w:t>
      </w:r>
    </w:p>
    <w:p>
      <w:pPr>
        <w:pStyle w:val="4"/>
      </w:pPr>
      <w:r>
        <w:t>统一口径</w:t>
      </w:r>
    </w:p>
    <w:p>
      <w:pPr/>
      <w:r>
        <w:t>统一金额单位为元，统一城市与设备名称，统一部门称谓。申报中“620万元”与制度中的门槛必须换算到同一量纲后才能比较。部门别称需要映射到日历中的标准实体，避免同一部门被计为两个负荷主体。</w:t>
      </w:r>
    </w:p>
    <w:p>
      <w:pPr>
        <w:pStyle w:val="4"/>
      </w:pPr>
      <w:r>
        <w:t>统一实体</w:t>
      </w:r>
    </w:p>
    <w:p>
      <w:pPr/>
      <w:r>
        <w:t>建立事项类别、部门、岗位角色、设备类型和城市的主数据映射。不同材料可能使用不同称呼指代同一实体，必须保证路径节点、日历负荷和清单展示指向同一对象。</w:t>
      </w:r>
    </w:p>
    <w:p>
      <w:pPr>
        <w:pStyle w:val="4"/>
      </w:pPr>
      <w:r>
        <w:t>质量控制</w:t>
      </w:r>
    </w:p>
    <w:p>
      <w:pPr/>
      <w:r>
        <w:t>记录抽取完整率、制度命中情况和法规来源可信度，低质量证据不得直接支撑强结论。对“未附空域批准”一类否定句必须识别为缺件，而不能因为出现“空域”字样就视为已报备。对“不涉及无人机”必须识别为无设备，而不能仅因字面出现设备名称就插入合规节点。</w:t>
      </w:r>
    </w:p>
    <w:p>
      <w:pPr>
        <w:pStyle w:val="4"/>
      </w:pPr>
      <w:r>
        <w:t>证据留痕</w:t>
      </w:r>
    </w:p>
    <w:p>
      <w:pPr/>
      <w:r>
        <w:t>保存制度来源、申报原件、补传文件、生成说明和闸门结果，保证路径可追溯。每一个“增加董事长”或“卡住”的结论，都应能够回到金额字段、制度门槛或缺失附件。这不仅是质量控制的需要，也是合规审计和结果验证的基础。</w:t>
      </w:r>
    </w:p>
    <w:p>
      <w:pPr>
        <w:pStyle w:val="31"/>
      </w:pPr>
      <w:r>
        <w:t>Skill化数据采集能力</w:t>
      </w:r>
    </w:p>
    <w:p>
      <w:pPr/>
      <w:r>
        <w:t>所有外部信息获取逻辑封装为独立Skill，按照证据类型和业务领域进行分类管理，实现采集的标准化、可插拔、可扩展。</w:t>
      </w:r>
    </w:p>
    <w:p>
      <w:pPr>
        <w:pStyle w:val="4"/>
      </w:pPr>
      <w:r>
        <w:t>Skill分类体系</w:t>
      </w:r>
    </w:p>
    <w:p>
      <w:pPr>
        <w:pStyle w:val="a7"/>
      </w:pPr>
      <w:r>
        <w:t>表  Skill分类体系及核心能力</w:t>
      </w:r>
    </w:p>
    <w:tbl>
      <w:tblPr>
        <w:tblStyle w:val="af4"/>
        <w:tblW w:type="auto" w:w="0"/>
        <w:tblLayout w:type="autofit"/>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黑体"/>
                <w:b/>
                <w:sz w:val="21"/>
              </w:rPr>
              <w:t>Skill分类</w:t>
            </w:r>
          </w:p>
        </w:tc>
        <w:tc>
          <w:tcPr>
            <w:tcW w:type="dxa" w:w="2160"/>
          </w:tcPr>
          <w:p>
            <w:r>
              <w:rPr>
                <w:rFonts w:ascii="Times New Roman" w:hAnsi="Times New Roman" w:eastAsia="黑体"/>
                <w:b/>
                <w:sz w:val="21"/>
              </w:rPr>
              <w:t>Skill名称</w:t>
            </w:r>
          </w:p>
        </w:tc>
        <w:tc>
          <w:tcPr>
            <w:tcW w:type="dxa" w:w="2160"/>
          </w:tcPr>
          <w:p>
            <w:r>
              <w:rPr>
                <w:rFonts w:ascii="Times New Roman" w:hAnsi="Times New Roman" w:eastAsia="黑体"/>
                <w:b/>
                <w:sz w:val="21"/>
              </w:rPr>
              <w:t>核心能力</w:t>
            </w:r>
          </w:p>
        </w:tc>
        <w:tc>
          <w:tcPr>
            <w:tcW w:type="dxa" w:w="2160"/>
          </w:tcPr>
          <w:p>
            <w:r>
              <w:rPr>
                <w:rFonts w:ascii="Times New Roman" w:hAnsi="Times New Roman" w:eastAsia="黑体"/>
                <w:b/>
                <w:sz w:val="21"/>
              </w:rPr>
              <w:t>数据来源</w:t>
            </w:r>
          </w:p>
        </w:tc>
      </w:tr>
      <w:tr>
        <w:tc>
          <w:tcPr>
            <w:tcW w:type="dxa" w:w="2160"/>
          </w:tcPr>
          <w:p>
            <w:r>
              <w:rPr>
                <w:rFonts w:ascii="Times New Roman" w:hAnsi="Times New Roman" w:eastAsia="宋体"/>
                <w:sz w:val="21"/>
              </w:rPr>
              <w:t>制度类</w:t>
            </w:r>
          </w:p>
        </w:tc>
        <w:tc>
          <w:tcPr>
            <w:tcW w:type="dxa" w:w="2160"/>
          </w:tcPr>
          <w:p>
            <w:r>
              <w:rPr>
                <w:rFonts w:ascii="Times New Roman" w:hAnsi="Times New Roman" w:eastAsia="宋体"/>
                <w:sz w:val="21"/>
              </w:rPr>
              <w:t>PolicyParseSkill</w:t>
            </w:r>
          </w:p>
        </w:tc>
        <w:tc>
          <w:tcPr>
            <w:tcW w:type="dxa" w:w="2160"/>
          </w:tcPr>
          <w:p>
            <w:r>
              <w:rPr>
                <w:rFonts w:ascii="Times New Roman" w:hAnsi="Times New Roman" w:eastAsia="宋体"/>
                <w:sz w:val="21"/>
              </w:rPr>
              <w:t>PDF解析、条款切块、职能底稿抽取</w:t>
            </w:r>
          </w:p>
        </w:tc>
        <w:tc>
          <w:tcPr>
            <w:tcW w:type="dxa" w:w="2160"/>
          </w:tcPr>
          <w:p>
            <w:r>
              <w:rPr>
                <w:rFonts w:ascii="Times New Roman" w:hAnsi="Times New Roman" w:eastAsia="宋体"/>
                <w:sz w:val="21"/>
              </w:rPr>
              <w:t>规章制度PDF</w:t>
            </w:r>
          </w:p>
        </w:tc>
      </w:tr>
      <w:tr>
        <w:tc>
          <w:tcPr>
            <w:tcW w:type="dxa" w:w="2160"/>
          </w:tcPr>
          <w:p>
            <w:r>
              <w:rPr>
                <w:rFonts w:ascii="Times New Roman" w:hAnsi="Times New Roman" w:eastAsia="宋体"/>
                <w:sz w:val="21"/>
              </w:rPr>
              <w:t>制度类</w:t>
            </w:r>
          </w:p>
        </w:tc>
        <w:tc>
          <w:tcPr>
            <w:tcW w:type="dxa" w:w="2160"/>
          </w:tcPr>
          <w:p>
            <w:r>
              <w:rPr>
                <w:rFonts w:ascii="Times New Roman" w:hAnsi="Times New Roman" w:eastAsia="宋体"/>
                <w:sz w:val="21"/>
              </w:rPr>
              <w:t>PolicyRetrieveSkill</w:t>
            </w:r>
          </w:p>
        </w:tc>
        <w:tc>
          <w:tcPr>
            <w:tcW w:type="dxa" w:w="2160"/>
          </w:tcPr>
          <w:p>
            <w:r>
              <w:rPr>
                <w:rFonts w:ascii="Times New Roman" w:hAnsi="Times New Roman" w:eastAsia="宋体"/>
                <w:sz w:val="21"/>
              </w:rPr>
              <w:t>按申报要素检索相关条款</w:t>
            </w:r>
          </w:p>
        </w:tc>
        <w:tc>
          <w:tcPr>
            <w:tcW w:type="dxa" w:w="2160"/>
          </w:tcPr>
          <w:p>
            <w:r>
              <w:rPr>
                <w:rFonts w:ascii="Times New Roman" w:hAnsi="Times New Roman" w:eastAsia="宋体"/>
                <w:sz w:val="21"/>
              </w:rPr>
              <w:t>制度知识库</w:t>
            </w:r>
          </w:p>
        </w:tc>
      </w:tr>
      <w:tr>
        <w:tc>
          <w:tcPr>
            <w:tcW w:type="dxa" w:w="2160"/>
          </w:tcPr>
          <w:p>
            <w:r>
              <w:rPr>
                <w:rFonts w:ascii="Times New Roman" w:hAnsi="Times New Roman" w:eastAsia="宋体"/>
                <w:sz w:val="21"/>
              </w:rPr>
              <w:t>制度类</w:t>
            </w:r>
          </w:p>
        </w:tc>
        <w:tc>
          <w:tcPr>
            <w:tcW w:type="dxa" w:w="2160"/>
          </w:tcPr>
          <w:p>
            <w:r>
              <w:rPr>
                <w:rFonts w:ascii="Times New Roman" w:hAnsi="Times New Roman" w:eastAsia="宋体"/>
                <w:sz w:val="21"/>
              </w:rPr>
              <w:t>DeptCapacitySkill</w:t>
            </w:r>
          </w:p>
        </w:tc>
        <w:tc>
          <w:tcPr>
            <w:tcW w:type="dxa" w:w="2160"/>
          </w:tcPr>
          <w:p>
            <w:r>
              <w:rPr>
                <w:rFonts w:ascii="Times New Roman" w:hAnsi="Times New Roman" w:eastAsia="宋体"/>
                <w:sz w:val="21"/>
              </w:rPr>
              <w:t>抽取部门并行工作数并更新日历</w:t>
            </w:r>
          </w:p>
        </w:tc>
        <w:tc>
          <w:tcPr>
            <w:tcW w:type="dxa" w:w="2160"/>
          </w:tcPr>
          <w:p>
            <w:r>
              <w:rPr>
                <w:rFonts w:ascii="Times New Roman" w:hAnsi="Times New Roman" w:eastAsia="宋体"/>
                <w:sz w:val="21"/>
              </w:rPr>
              <w:t>管理办法正文</w:t>
            </w:r>
          </w:p>
        </w:tc>
      </w:tr>
      <w:tr>
        <w:tc>
          <w:tcPr>
            <w:tcW w:type="dxa" w:w="2160"/>
          </w:tcPr>
          <w:p>
            <w:r>
              <w:rPr>
                <w:rFonts w:ascii="Times New Roman" w:hAnsi="Times New Roman" w:eastAsia="宋体"/>
                <w:sz w:val="21"/>
              </w:rPr>
              <w:t>申报类</w:t>
            </w:r>
          </w:p>
        </w:tc>
        <w:tc>
          <w:tcPr>
            <w:tcW w:type="dxa" w:w="2160"/>
          </w:tcPr>
          <w:p>
            <w:r>
              <w:rPr>
                <w:rFonts w:ascii="Times New Roman" w:hAnsi="Times New Roman" w:eastAsia="宋体"/>
                <w:sz w:val="21"/>
              </w:rPr>
              <w:t>ApplicationReadSkill</w:t>
            </w:r>
          </w:p>
        </w:tc>
        <w:tc>
          <w:tcPr>
            <w:tcW w:type="dxa" w:w="2160"/>
          </w:tcPr>
          <w:p>
            <w:r>
              <w:rPr>
                <w:rFonts w:ascii="Times New Roman" w:hAnsi="Times New Roman" w:eastAsia="宋体"/>
                <w:sz w:val="21"/>
              </w:rPr>
              <w:t>读取立项书与附件，抽取金额、城市、设备</w:t>
            </w:r>
          </w:p>
        </w:tc>
        <w:tc>
          <w:tcPr>
            <w:tcW w:type="dxa" w:w="2160"/>
          </w:tcPr>
          <w:p>
            <w:r>
              <w:rPr>
                <w:rFonts w:ascii="Times New Roman" w:hAnsi="Times New Roman" w:eastAsia="宋体"/>
                <w:sz w:val="21"/>
              </w:rPr>
              <w:t>申报原件</w:t>
            </w:r>
          </w:p>
        </w:tc>
      </w:tr>
      <w:tr>
        <w:tc>
          <w:tcPr>
            <w:tcW w:type="dxa" w:w="2160"/>
          </w:tcPr>
          <w:p>
            <w:r>
              <w:rPr>
                <w:rFonts w:ascii="Times New Roman" w:hAnsi="Times New Roman" w:eastAsia="宋体"/>
                <w:sz w:val="21"/>
              </w:rPr>
              <w:t>法规类</w:t>
            </w:r>
          </w:p>
        </w:tc>
        <w:tc>
          <w:tcPr>
            <w:tcW w:type="dxa" w:w="2160"/>
          </w:tcPr>
          <w:p>
            <w:r>
              <w:rPr>
                <w:rFonts w:ascii="Times New Roman" w:hAnsi="Times New Roman" w:eastAsia="宋体"/>
                <w:sz w:val="21"/>
              </w:rPr>
              <w:t>WebLawSkill</w:t>
            </w:r>
          </w:p>
        </w:tc>
        <w:tc>
          <w:tcPr>
            <w:tcW w:type="dxa" w:w="2160"/>
          </w:tcPr>
          <w:p>
            <w:r>
              <w:rPr>
                <w:rFonts w:ascii="Times New Roman" w:hAnsi="Times New Roman" w:eastAsia="宋体"/>
                <w:sz w:val="21"/>
              </w:rPr>
              <w:t>按城市与主题检索当地限制摘要</w:t>
            </w:r>
          </w:p>
        </w:tc>
        <w:tc>
          <w:tcPr>
            <w:tcW w:type="dxa" w:w="2160"/>
          </w:tcPr>
          <w:p>
            <w:r>
              <w:rPr>
                <w:rFonts w:ascii="Times New Roman" w:hAnsi="Times New Roman" w:eastAsia="宋体"/>
                <w:sz w:val="21"/>
              </w:rPr>
              <w:t>公开法规与检索</w:t>
            </w:r>
          </w:p>
        </w:tc>
      </w:tr>
      <w:tr>
        <w:tc>
          <w:tcPr>
            <w:tcW w:type="dxa" w:w="2160"/>
          </w:tcPr>
          <w:p>
            <w:r>
              <w:rPr>
                <w:rFonts w:ascii="Times New Roman" w:hAnsi="Times New Roman" w:eastAsia="宋体"/>
                <w:sz w:val="21"/>
              </w:rPr>
              <w:t>实例类</w:t>
            </w:r>
          </w:p>
        </w:tc>
        <w:tc>
          <w:tcPr>
            <w:tcW w:type="dxa" w:w="2160"/>
          </w:tcPr>
          <w:p>
            <w:r>
              <w:rPr>
                <w:rFonts w:ascii="Times New Roman" w:hAnsi="Times New Roman" w:eastAsia="宋体"/>
                <w:sz w:val="21"/>
              </w:rPr>
              <w:t>CaseStateSkill</w:t>
            </w:r>
          </w:p>
        </w:tc>
        <w:tc>
          <w:tcPr>
            <w:tcW w:type="dxa" w:w="2160"/>
          </w:tcPr>
          <w:p>
            <w:r>
              <w:rPr>
                <w:rFonts w:ascii="Times New Roman" w:hAnsi="Times New Roman" w:eastAsia="宋体"/>
                <w:sz w:val="21"/>
              </w:rPr>
              <w:t>读取在办事项、补传记录和停滞状态</w:t>
            </w:r>
          </w:p>
        </w:tc>
        <w:tc>
          <w:tcPr>
            <w:tcW w:type="dxa" w:w="2160"/>
          </w:tcPr>
          <w:p>
            <w:r>
              <w:rPr>
                <w:rFonts w:ascii="Times New Roman" w:hAnsi="Times New Roman" w:eastAsia="宋体"/>
                <w:sz w:val="21"/>
              </w:rPr>
              <w:t>审批实例库</w:t>
            </w:r>
          </w:p>
        </w:tc>
      </w:tr>
    </w:tbl>
    <w:p>
      <w:pPr/>
    </w:p>
    <w:p>
      <w:pPr>
        <w:pStyle w:val="4"/>
      </w:pPr>
      <w:r>
        <w:t>Skill统一运行规范</w:t>
      </w:r>
    </w:p>
    <w:p>
      <w:pPr/>
      <w:r>
        <w:t>所有Skill遵循统一的运行规范，确保标准化和可插拔：</w:t>
      </w:r>
    </w:p>
    <w:p>
      <w:pPr/>
      <w:r>
        <w:t>统一输入参数：查询关键词、材料文本、城市、设备主题、时间范围等。</w:t>
      </w:r>
    </w:p>
    <w:p>
      <w:pPr/>
      <w:r>
        <w:t>统一输出格式：结构化对象，包含状态、数据点、来源、置信度和说明。</w:t>
      </w:r>
    </w:p>
    <w:p>
      <w:pPr/>
      <w:r>
        <w:t>统一错误处理：参数错误、文本不可读、数据源不可用、超时等均有明确降级策略。</w:t>
      </w:r>
    </w:p>
    <w:p>
      <w:pPr/>
      <w:r>
        <w:t>统一监控：记录调用是否成功、是否降级、是否使用缓存，保证调度层可观测。</w:t>
      </w:r>
    </w:p>
    <w:p>
      <w:pPr>
        <w:pStyle w:val="4"/>
      </w:pPr>
      <w:r>
        <w:t>Skill扩展机制</w:t>
      </w:r>
    </w:p>
    <w:p>
      <w:pPr/>
      <w:r>
        <w:t>Skill体系支持灵活扩展，新增证据源只需新增对应Skill：</w:t>
      </w:r>
    </w:p>
    <w:p>
      <w:pPr/>
      <w:r>
        <w:t>标准接口：所有Skill遵循统一的输入输出约定。</w:t>
      </w:r>
    </w:p>
    <w:p>
      <w:pPr/>
      <w:r>
        <w:t>即插即用：新增Skill无需修改计算层路径求值逻辑。</w:t>
      </w:r>
    </w:p>
    <w:p>
      <w:pPr/>
      <w:r>
        <w:t>自动发现：调度层可按任务类型选择新注册的Skill。</w:t>
      </w:r>
    </w:p>
    <w:p>
      <w:pPr/>
      <w:r>
        <w:t>版本管理：制度学习与申报生成可独立演进，互不影响。</w:t>
      </w:r>
    </w:p>
    <w:p>
      <w:pPr>
        <w:pStyle w:val="21"/>
      </w:pPr>
      <w:r>
        <w:t>深度分析业务</w:t>
      </w:r>
    </w:p>
    <w:p>
      <w:pPr>
        <w:pStyle w:val="31"/>
      </w:pPr>
      <w:r>
        <w:t>传导分析范式</w:t>
      </w:r>
    </w:p>
    <w:p>
      <w:pPr/>
      <w:r>
        <w:t>本方案构建了由证据采集、结构化抽取、路径生成、闸门判定、容量传导和结果输出组成的审批信号传导分析范式。该范式以规章制度与申报材料为起点，以清单、方案和经营侧可见结果为终点，形成完整的动态闭环。</w:t>
      </w:r>
    </w:p>
    <w:p>
      <w:pPr>
        <w:jc w:val="center"/>
      </w:pPr>
      <w:r>
        <w:drawing>
          <wp:inline xmlns:a="http://schemas.openxmlformats.org/drawingml/2006/main" xmlns:pic="http://schemas.openxmlformats.org/drawingml/2006/picture">
            <wp:extent cx="5256000" cy="1888078"/>
            <wp:docPr id="2" name="Picture 2"/>
            <wp:cNvGraphicFramePr>
              <a:graphicFrameLocks noChangeAspect="1"/>
            </wp:cNvGraphicFramePr>
            <a:graphic>
              <a:graphicData uri="http://schemas.openxmlformats.org/drawingml/2006/picture">
                <pic:pic>
                  <pic:nvPicPr>
                    <pic:cNvPr id="0" name="paradigm.png"/>
                    <pic:cNvPicPr/>
                  </pic:nvPicPr>
                  <pic:blipFill>
                    <a:blip r:embed="rId23"/>
                    <a:stretch>
                      <a:fillRect/>
                    </a:stretch>
                  </pic:blipFill>
                  <pic:spPr>
                    <a:xfrm>
                      <a:off x="0" y="0"/>
                      <a:ext cx="5256000" cy="1888078"/>
                    </a:xfrm>
                    <a:prstGeom prst="rect"/>
                  </pic:spPr>
                </pic:pic>
              </a:graphicData>
            </a:graphic>
          </wp:inline>
        </w:drawing>
      </w:r>
    </w:p>
    <w:p>
      <w:pPr>
        <w:pStyle w:val="a7"/>
      </w:pPr>
      <w:r>
        <w:t>图  外部制度与申报信号传导分析范式总体框架</w:t>
      </w:r>
    </w:p>
    <w:p>
      <w:pPr>
        <w:pStyle w:val="4"/>
      </w:pPr>
      <w:r>
        <w:t>标准分析链条</w:t>
      </w:r>
    </w:p>
    <w:p>
      <w:pPr/>
      <w:r>
        <w:t>标准分析链条是整个传导分析范式的核心骨架，它规定了外部制度与申报信号如何一步步传导并最终影响审批决策的完整路径。</w:t>
      </w:r>
    </w:p>
    <w:p>
      <w:pPr/>
      <w:r>
        <w:t>标准分析链条：制度与申报信号→结构化抽取→路径生成→合规闸门→容量传导→清单与方案</w:t>
      </w:r>
    </w:p>
    <w:p>
      <w:pPr/>
      <w:r>
        <w:t>（1）制度与申报信号。这是传导分析的起点，包括管理办法修订、立项书提交、附件补传等所有可能改变路径的外部输入。</w:t>
      </w:r>
    </w:p>
    <w:p>
      <w:pPr/>
      <w:r>
        <w:t>（2）结构化抽取。外部信号首先转化为可观测的申报要素，如金额、城市、设备、部门、是否已附报备。</w:t>
      </w:r>
    </w:p>
    <w:p>
      <w:pPr/>
      <w:r>
        <w:t>（3）路径生成。要素变化会首先作用于审批链上的直接相关环节，例如过线增加总经理和董事长，这是传导的第一阶影响。</w:t>
      </w:r>
    </w:p>
    <w:p>
      <w:pPr/>
      <w:r>
        <w:t>（4）合规闸门。直接影响会继续传导到特种作业审查，缺件则阻断流转，形成二阶影响。</w:t>
      </w:r>
    </w:p>
    <w:p>
      <w:pPr/>
      <w:r>
        <w:t>（5）容量传导。节点占用进入部门日历，并行上限决定空闲、忙碌或饱和，形成负荷结果。</w:t>
      </w:r>
    </w:p>
    <w:p>
      <w:pPr/>
      <w:r>
        <w:t>（6）清单与方案。各环节结果汇总为项目群视图和本单生成方案，管理者据此补材料或调整安排，形成反馈闭环。</w:t>
      </w:r>
    </w:p>
    <w:p>
      <w:pPr>
        <w:pStyle w:val="31"/>
      </w:pPr>
      <w:r>
        <w:t>多阶影响推演</w:t>
      </w:r>
    </w:p>
    <w:p>
      <w:pPr/>
      <w:r>
        <w:t>多阶影响推演是传导分析的核心方法，它通过逐层分析申报要素的直接影响和间接影响，全面评估一次提交对审批链、合规状态和部门负荷的综合作用。</w:t>
      </w:r>
    </w:p>
    <w:p>
      <w:pPr>
        <w:pStyle w:val="4"/>
      </w:pPr>
      <w:r>
        <w:t>本概念</w:t>
      </w:r>
    </w:p>
    <w:p>
      <w:pPr/>
      <w:r>
        <w:t>一阶影响：申报要素对路径节点的直接作用，如金额过线插入高层审批。</w:t>
      </w:r>
    </w:p>
    <w:p>
      <w:pPr/>
      <w:r>
        <w:t>二阶影响：直接作用经过合规审查后的结果，如缺报备卡住。</w:t>
      </w:r>
    </w:p>
    <w:p>
      <w:pPr/>
      <w:r>
        <w:t>三阶及更高阶影响：通常进入部门日历、清单延迟和报告解释层面。</w:t>
      </w:r>
    </w:p>
    <w:p>
      <w:pPr/>
      <w:r>
        <w:t>反馈影响：补传材料或修订制度改变原有路径和容量。</w:t>
      </w:r>
    </w:p>
    <w:p>
      <w:pPr/>
      <w:r>
        <w:t>多阶推演的目的不是为了追求无限深度，而是在业务逻辑和证据约束下，识别对审批决策有意义的主要路径。一般来说，重点分析三至四阶影响就足够了，超过一定层级后不确定性会快速增加，应以情景范围而不是单点断言进行表达。</w:t>
      </w:r>
    </w:p>
    <w:p>
      <w:pPr>
        <w:pStyle w:val="4"/>
      </w:pPr>
      <w:r>
        <w:t>推演原则</w:t>
      </w:r>
    </w:p>
    <w:p>
      <w:pPr/>
      <w:r>
        <w:t>业务逻辑优先：所有传导路径必须符合审批逻辑，不能仅凭文本共现就建立因果关系。</w:t>
      </w:r>
    </w:p>
    <w:p>
      <w:pPr/>
      <w:r>
        <w:t>因果顺序约束：传导必须遵循提交、生成、审查、占用、输出的时间先后。</w:t>
      </w:r>
    </w:p>
    <w:p>
      <w:pPr/>
      <w:r>
        <w:t>证据支撑：每条路径都要有制度片段、申报字段或附件证据，不能凭空假设。</w:t>
      </w:r>
    </w:p>
    <w:p>
      <w:pPr/>
      <w:r>
        <w:t>条件化表达：传导关系通常是有条件的，例如仅当涉及无人机且未附报备时才阻断。</w:t>
      </w:r>
    </w:p>
    <w:p>
      <w:pPr/>
      <w:r>
        <w:t>不确定性量化：法规检索可给出摘要和来源，缺件与门槛比较则给出确定性闸门结果。</w:t>
      </w:r>
    </w:p>
    <w:p>
      <w:pPr>
        <w:pStyle w:val="4"/>
      </w:pPr>
      <w:r>
        <w:t>路径生成与筛选</w:t>
      </w:r>
    </w:p>
    <w:p>
      <w:pPr/>
      <w:r>
        <w:t>从一次申报出发可以生成很多条想象中的审批链，但并不是所有路径都同等重要。需要通过筛选机制，识别出对本单有实际意义的主路径。</w:t>
      </w:r>
    </w:p>
    <w:p>
      <w:pPr/>
      <w:r>
        <w:t>（1）确定直接节点。根据类别、金额和设备识别首先变化的审批环节。</w:t>
      </w:r>
    </w:p>
    <w:p>
      <w:pPr/>
      <w:r>
        <w:t>（2）生成候选路径。沿权限关系和合规关系向后扩展。</w:t>
      </w:r>
    </w:p>
    <w:p>
      <w:pPr/>
      <w:r>
        <w:t>（3）检查成立条件。检验否定句、附件是否齐备、制度是否写明门槛。</w:t>
      </w:r>
    </w:p>
    <w:p>
      <w:pPr/>
      <w:r>
        <w:t>（4）量化路径影响。估计节点数量、是否阻断、容量占用和可信依据。</w:t>
      </w:r>
    </w:p>
    <w:p>
      <w:pPr/>
      <w:r>
        <w:t>（5）形成路径组合。区分主路径、条件性路径和极端合规风险路径。</w:t>
      </w:r>
    </w:p>
    <w:p>
      <w:pPr>
        <w:pStyle w:val="31"/>
      </w:pPr>
      <w:r>
        <w:t>情景模拟与压力测试</w:t>
      </w:r>
    </w:p>
    <w:p>
      <w:pPr/>
      <w:r>
        <w:t>情景模拟是深度分析的重要方法，能够帮助企业评估不同申报环境和制度环境下的路径表现，识别潜在合规风险。</w:t>
      </w:r>
    </w:p>
    <w:p>
      <w:pPr>
        <w:pStyle w:val="4"/>
      </w:pPr>
      <w:r>
        <w:t>情景类型</w:t>
      </w:r>
    </w:p>
    <w:p>
      <w:pPr>
        <w:pStyle w:val="a7"/>
      </w:pPr>
      <w:r>
        <w:t>表  情景类型及适用场景</w:t>
      </w:r>
    </w:p>
    <w:tbl>
      <w:tblPr>
        <w:tblStyle w:val="af4"/>
        <w:tblW w:type="auto" w:w="0"/>
        <w:tblLayout w:type="autofit"/>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黑体"/>
                <w:b/>
                <w:sz w:val="21"/>
              </w:rPr>
              <w:t>情景类型</w:t>
            </w:r>
          </w:p>
        </w:tc>
        <w:tc>
          <w:tcPr>
            <w:tcW w:type="dxa" w:w="2160"/>
          </w:tcPr>
          <w:p>
            <w:r>
              <w:rPr>
                <w:rFonts w:ascii="Times New Roman" w:hAnsi="Times New Roman" w:eastAsia="黑体"/>
                <w:b/>
                <w:sz w:val="21"/>
              </w:rPr>
              <w:t>描述</w:t>
            </w:r>
          </w:p>
        </w:tc>
        <w:tc>
          <w:tcPr>
            <w:tcW w:type="dxa" w:w="2160"/>
          </w:tcPr>
          <w:p>
            <w:r>
              <w:rPr>
                <w:rFonts w:ascii="Times New Roman" w:hAnsi="Times New Roman" w:eastAsia="黑体"/>
                <w:b/>
                <w:sz w:val="21"/>
              </w:rPr>
              <w:t>适用场景</w:t>
            </w:r>
          </w:p>
        </w:tc>
        <w:tc>
          <w:tcPr>
            <w:tcW w:type="dxa" w:w="2160"/>
          </w:tcPr>
          <w:p>
            <w:r>
              <w:rPr>
                <w:rFonts w:ascii="Times New Roman" w:hAnsi="Times New Roman" w:eastAsia="黑体"/>
                <w:b/>
                <w:sz w:val="21"/>
              </w:rPr>
              <w:t>分析重点</w:t>
            </w:r>
          </w:p>
        </w:tc>
      </w:tr>
      <w:tr>
        <w:tc>
          <w:tcPr>
            <w:tcW w:type="dxa" w:w="2160"/>
          </w:tcPr>
          <w:p>
            <w:r>
              <w:rPr>
                <w:rFonts w:ascii="Times New Roman" w:hAnsi="Times New Roman" w:eastAsia="宋体"/>
                <w:sz w:val="21"/>
              </w:rPr>
              <w:t>基准情景</w:t>
            </w:r>
          </w:p>
        </w:tc>
        <w:tc>
          <w:tcPr>
            <w:tcW w:type="dxa" w:w="2160"/>
          </w:tcPr>
          <w:p>
            <w:r>
              <w:rPr>
                <w:rFonts w:ascii="Times New Roman" w:hAnsi="Times New Roman" w:eastAsia="宋体"/>
                <w:sz w:val="21"/>
              </w:rPr>
              <w:t>按当前制度和本单材料生成路径</w:t>
            </w:r>
          </w:p>
        </w:tc>
        <w:tc>
          <w:tcPr>
            <w:tcW w:type="dxa" w:w="2160"/>
          </w:tcPr>
          <w:p>
            <w:r>
              <w:rPr>
                <w:rFonts w:ascii="Times New Roman" w:hAnsi="Times New Roman" w:eastAsia="宋体"/>
                <w:sz w:val="21"/>
              </w:rPr>
              <w:t>日常立项与报销</w:t>
            </w:r>
          </w:p>
        </w:tc>
        <w:tc>
          <w:tcPr>
            <w:tcW w:type="dxa" w:w="2160"/>
          </w:tcPr>
          <w:p>
            <w:r>
              <w:rPr>
                <w:rFonts w:ascii="Times New Roman" w:hAnsi="Times New Roman" w:eastAsia="宋体"/>
                <w:sz w:val="21"/>
              </w:rPr>
              <w:t>主路径是否合理</w:t>
            </w:r>
          </w:p>
        </w:tc>
      </w:tr>
      <w:tr>
        <w:tc>
          <w:tcPr>
            <w:tcW w:type="dxa" w:w="2160"/>
          </w:tcPr>
          <w:p>
            <w:r>
              <w:rPr>
                <w:rFonts w:ascii="Times New Roman" w:hAnsi="Times New Roman" w:eastAsia="宋体"/>
                <w:sz w:val="21"/>
              </w:rPr>
              <w:t>金额冲击</w:t>
            </w:r>
          </w:p>
        </w:tc>
        <w:tc>
          <w:tcPr>
            <w:tcW w:type="dxa" w:w="2160"/>
          </w:tcPr>
          <w:p>
            <w:r>
              <w:rPr>
                <w:rFonts w:ascii="Times New Roman" w:hAnsi="Times New Roman" w:eastAsia="宋体"/>
                <w:sz w:val="21"/>
              </w:rPr>
              <w:t>金额跨越示例门槛</w:t>
            </w:r>
          </w:p>
        </w:tc>
        <w:tc>
          <w:tcPr>
            <w:tcW w:type="dxa" w:w="2160"/>
          </w:tcPr>
          <w:p>
            <w:r>
              <w:rPr>
                <w:rFonts w:ascii="Times New Roman" w:hAnsi="Times New Roman" w:eastAsia="宋体"/>
                <w:sz w:val="21"/>
              </w:rPr>
              <w:t>高额立项</w:t>
            </w:r>
          </w:p>
        </w:tc>
        <w:tc>
          <w:tcPr>
            <w:tcW w:type="dxa" w:w="2160"/>
          </w:tcPr>
          <w:p>
            <w:r>
              <w:rPr>
                <w:rFonts w:ascii="Times New Roman" w:hAnsi="Times New Roman" w:eastAsia="宋体"/>
                <w:sz w:val="21"/>
              </w:rPr>
              <w:t>是否增加总经理、董事长</w:t>
            </w:r>
          </w:p>
        </w:tc>
      </w:tr>
      <w:tr>
        <w:tc>
          <w:tcPr>
            <w:tcW w:type="dxa" w:w="2160"/>
          </w:tcPr>
          <w:p>
            <w:r>
              <w:rPr>
                <w:rFonts w:ascii="Times New Roman" w:hAnsi="Times New Roman" w:eastAsia="宋体"/>
                <w:sz w:val="21"/>
              </w:rPr>
              <w:t>设备冲击</w:t>
            </w:r>
          </w:p>
        </w:tc>
        <w:tc>
          <w:tcPr>
            <w:tcW w:type="dxa" w:w="2160"/>
          </w:tcPr>
          <w:p>
            <w:r>
              <w:rPr>
                <w:rFonts w:ascii="Times New Roman" w:hAnsi="Times New Roman" w:eastAsia="宋体"/>
                <w:sz w:val="21"/>
              </w:rPr>
              <w:t>出现无人机且作业地位于限制区域</w:t>
            </w:r>
          </w:p>
        </w:tc>
        <w:tc>
          <w:tcPr>
            <w:tcW w:type="dxa" w:w="2160"/>
          </w:tcPr>
          <w:p>
            <w:r>
              <w:rPr>
                <w:rFonts w:ascii="Times New Roman" w:hAnsi="Times New Roman" w:eastAsia="宋体"/>
                <w:sz w:val="21"/>
              </w:rPr>
              <w:t>航拍测绘</w:t>
            </w:r>
          </w:p>
        </w:tc>
        <w:tc>
          <w:tcPr>
            <w:tcW w:type="dxa" w:w="2160"/>
          </w:tcPr>
          <w:p>
            <w:r>
              <w:rPr>
                <w:rFonts w:ascii="Times New Roman" w:hAnsi="Times New Roman" w:eastAsia="宋体"/>
                <w:sz w:val="21"/>
              </w:rPr>
              <w:t>是否插入合规并缺件卡住</w:t>
            </w:r>
          </w:p>
        </w:tc>
      </w:tr>
      <w:tr>
        <w:tc>
          <w:tcPr>
            <w:tcW w:type="dxa" w:w="2160"/>
          </w:tcPr>
          <w:p>
            <w:r>
              <w:rPr>
                <w:rFonts w:ascii="Times New Roman" w:hAnsi="Times New Roman" w:eastAsia="宋体"/>
                <w:sz w:val="21"/>
              </w:rPr>
              <w:t>制度冲击</w:t>
            </w:r>
          </w:p>
        </w:tc>
        <w:tc>
          <w:tcPr>
            <w:tcW w:type="dxa" w:w="2160"/>
          </w:tcPr>
          <w:p>
            <w:r>
              <w:rPr>
                <w:rFonts w:ascii="Times New Roman" w:hAnsi="Times New Roman" w:eastAsia="宋体"/>
                <w:sz w:val="21"/>
              </w:rPr>
              <w:t>修订并行工作数条款</w:t>
            </w:r>
          </w:p>
        </w:tc>
        <w:tc>
          <w:tcPr>
            <w:tcW w:type="dxa" w:w="2160"/>
          </w:tcPr>
          <w:p>
            <w:r>
              <w:rPr>
                <w:rFonts w:ascii="Times New Roman" w:hAnsi="Times New Roman" w:eastAsia="宋体"/>
                <w:sz w:val="21"/>
              </w:rPr>
              <w:t>部门负荷管理</w:t>
            </w:r>
          </w:p>
        </w:tc>
        <w:tc>
          <w:tcPr>
            <w:tcW w:type="dxa" w:w="2160"/>
          </w:tcPr>
          <w:p>
            <w:r>
              <w:rPr>
                <w:rFonts w:ascii="Times New Roman" w:hAnsi="Times New Roman" w:eastAsia="宋体"/>
                <w:sz w:val="21"/>
              </w:rPr>
              <w:t>日历上限是否变化</w:t>
            </w:r>
          </w:p>
        </w:tc>
      </w:tr>
      <w:tr>
        <w:tc>
          <w:tcPr>
            <w:tcW w:type="dxa" w:w="2160"/>
          </w:tcPr>
          <w:p>
            <w:r>
              <w:rPr>
                <w:rFonts w:ascii="Times New Roman" w:hAnsi="Times New Roman" w:eastAsia="宋体"/>
                <w:sz w:val="21"/>
              </w:rPr>
              <w:t>补件修复</w:t>
            </w:r>
          </w:p>
        </w:tc>
        <w:tc>
          <w:tcPr>
            <w:tcW w:type="dxa" w:w="2160"/>
          </w:tcPr>
          <w:p>
            <w:r>
              <w:rPr>
                <w:rFonts w:ascii="Times New Roman" w:hAnsi="Times New Roman" w:eastAsia="宋体"/>
                <w:sz w:val="21"/>
              </w:rPr>
              <w:t>在缺件停滞后续传报备材料</w:t>
            </w:r>
          </w:p>
        </w:tc>
        <w:tc>
          <w:tcPr>
            <w:tcW w:type="dxa" w:w="2160"/>
          </w:tcPr>
          <w:p>
            <w:r>
              <w:rPr>
                <w:rFonts w:ascii="Times New Roman" w:hAnsi="Times New Roman" w:eastAsia="宋体"/>
                <w:sz w:val="21"/>
              </w:rPr>
              <w:t>合规解卡</w:t>
            </w:r>
          </w:p>
        </w:tc>
        <w:tc>
          <w:tcPr>
            <w:tcW w:type="dxa" w:w="2160"/>
          </w:tcPr>
          <w:p>
            <w:r>
              <w:rPr>
                <w:rFonts w:ascii="Times New Roman" w:hAnsi="Times New Roman" w:eastAsia="宋体"/>
                <w:sz w:val="21"/>
              </w:rPr>
              <w:t>停滞是否解除</w:t>
            </w:r>
          </w:p>
        </w:tc>
      </w:tr>
    </w:tbl>
    <w:p>
      <w:pPr/>
    </w:p>
    <w:p>
      <w:pPr>
        <w:pStyle w:val="4"/>
      </w:pPr>
      <w:r>
        <w:t>压力测试方法</w:t>
      </w:r>
    </w:p>
    <w:p>
      <w:pPr/>
      <w:r>
        <w:t>单因子压力测试：单独改变金额、设备或并行上限，观察路径和日历变化。</w:t>
      </w:r>
    </w:p>
    <w:p>
      <w:pPr/>
      <w:r>
        <w:t>多因子组合压力测试：同时出现高额、无人机、中心城区和缺件，模拟系统性合规风险。</w:t>
      </w:r>
    </w:p>
    <w:p>
      <w:pPr/>
      <w:r>
        <w:t>对照情景：以不涉及无人机的低额内部事项作为对照，验证路径分化。</w:t>
      </w:r>
    </w:p>
    <w:p>
      <w:pPr/>
      <w:r>
        <w:t>制度修订复现：修改管理办法中的并行工作数，测试容量传导是否成立。</w:t>
      </w:r>
    </w:p>
    <w:p>
      <w:pPr>
        <w:pStyle w:val="4"/>
      </w:pPr>
      <w:r>
        <w:t>输出成果</w:t>
      </w:r>
    </w:p>
    <w:p>
      <w:pPr/>
      <w:r>
        <w:t>各情景下的关键结果：节点构成、是否过线、是否插入合规、缺件清单、部门负荷和延迟。</w:t>
      </w:r>
    </w:p>
    <w:p>
      <w:pPr/>
      <w:r>
        <w:t>风险承受能力评估：在缺件和饱和同时出现时，流程能否被正确阻断并解释。</w:t>
      </w:r>
    </w:p>
    <w:p>
      <w:pPr/>
      <w:r>
        <w:t>预警表达：缺件停滞、关键岗位忙碌、部门过载。</w:t>
      </w:r>
    </w:p>
    <w:p>
      <w:pPr/>
      <w:r>
        <w:t>应对建议：补传哪些材料、关注哪些部门并行上限、是否需要修订制度口径。</w:t>
      </w:r>
    </w:p>
    <w:p>
      <w:pPr>
        <w:pStyle w:val="21"/>
      </w:pPr>
      <w:r>
        <w:t>平台分析中心定位</w:t>
      </w:r>
    </w:p>
    <w:p>
      <w:pPr>
        <w:pStyle w:val="31"/>
      </w:pPr>
      <w:r>
        <w:t>平台核心价值</w:t>
      </w:r>
    </w:p>
    <w:p>
      <w:pPr/>
      <w:r>
        <w:t>OA审批智能体定位为组织的审批分析中心，是把制度执行从“配置事后核对”提升为“提交当时生成”的重要基础设施，也是提升审批决策能力的核心支撑。</w:t>
      </w:r>
    </w:p>
    <w:p>
      <w:pPr>
        <w:pStyle w:val="4"/>
      </w:pPr>
      <w:r>
        <w:t>能力整合价值</w:t>
      </w:r>
    </w:p>
    <w:p>
      <w:pPr/>
      <w:r>
        <w:t>整合分散在制度库、申报材料、在办事项和部门日历中的分析资源，形成统一的路径分析能力。避免业务人员在模板下拉框、邮件和口头解释之间来回切换，提高资源利用效率。</w:t>
      </w:r>
    </w:p>
    <w:p>
      <w:pPr>
        <w:pStyle w:val="4"/>
      </w:pPr>
      <w:r>
        <w:t>决策支撑价值</w:t>
      </w:r>
    </w:p>
    <w:p>
      <w:pPr/>
      <w:r>
        <w:t>为管理者提供及时、可解释的路径方案、停滞原因和忙闲视图，支撑立项安排、合规控制和负荷调度，提升决策的科学性和前瞻性。</w:t>
      </w:r>
    </w:p>
    <w:p>
      <w:pPr>
        <w:pStyle w:val="4"/>
      </w:pPr>
      <w:r>
        <w:t>数据资产价值</w:t>
      </w:r>
    </w:p>
    <w:p>
      <w:pPr/>
      <w:r>
        <w:t>持续积累制度片段、生成说明、闸门结果和补传记录，形成组织的制度执行资产。数据资产持续增值，为后续接入真实身份与待办奠定基础。</w:t>
      </w:r>
    </w:p>
    <w:p>
      <w:pPr>
        <w:pStyle w:val="4"/>
      </w:pPr>
      <w:r>
        <w:t>技术创新价值</w:t>
      </w:r>
    </w:p>
    <w:p>
      <w:pPr/>
      <w:r>
        <w:t>探索大模型调度、Skills取证与确定性算法在审批领域的结合，使智能体停留在“读和排”而不是“口算路径”，构建可审计的技术竞争优势。</w:t>
      </w:r>
    </w:p>
    <w:p>
      <w:pPr>
        <w:pStyle w:val="31"/>
      </w:pPr>
      <w:r>
        <w:t>服务对象与场景</w:t>
      </w:r>
    </w:p>
    <w:p>
      <w:pPr>
        <w:pStyle w:val="a7"/>
      </w:pPr>
      <w:r>
        <w:t>表  平台分析中心服务对象及服务场景</w:t>
      </w:r>
    </w:p>
    <w:tbl>
      <w:tblPr>
        <w:tblStyle w:val="af4"/>
        <w:tblW w:type="auto" w:w="0"/>
        <w:tblLayout w:type="autofit"/>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黑体"/>
                <w:b/>
                <w:sz w:val="21"/>
              </w:rPr>
              <w:t>服务对象</w:t>
            </w:r>
          </w:p>
        </w:tc>
        <w:tc>
          <w:tcPr>
            <w:tcW w:type="dxa" w:w="2160"/>
          </w:tcPr>
          <w:p>
            <w:r>
              <w:rPr>
                <w:rFonts w:ascii="Times New Roman" w:hAnsi="Times New Roman" w:eastAsia="黑体"/>
                <w:b/>
                <w:sz w:val="21"/>
              </w:rPr>
              <w:t>核心需求</w:t>
            </w:r>
          </w:p>
        </w:tc>
        <w:tc>
          <w:tcPr>
            <w:tcW w:type="dxa" w:w="2160"/>
          </w:tcPr>
          <w:p>
            <w:r>
              <w:rPr>
                <w:rFonts w:ascii="Times New Roman" w:hAnsi="Times New Roman" w:eastAsia="黑体"/>
                <w:b/>
                <w:sz w:val="21"/>
              </w:rPr>
              <w:t>主要服务场景</w:t>
            </w:r>
          </w:p>
        </w:tc>
        <w:tc>
          <w:tcPr>
            <w:tcW w:type="dxa" w:w="2160"/>
          </w:tcPr>
          <w:p>
            <w:r>
              <w:rPr>
                <w:rFonts w:ascii="Times New Roman" w:hAnsi="Times New Roman" w:eastAsia="黑体"/>
                <w:b/>
                <w:sz w:val="21"/>
              </w:rPr>
              <w:t>输出形式</w:t>
            </w:r>
          </w:p>
        </w:tc>
      </w:tr>
      <w:tr>
        <w:tc>
          <w:tcPr>
            <w:tcW w:type="dxa" w:w="2160"/>
          </w:tcPr>
          <w:p>
            <w:r>
              <w:rPr>
                <w:rFonts w:ascii="Times New Roman" w:hAnsi="Times New Roman" w:eastAsia="宋体"/>
                <w:sz w:val="21"/>
              </w:rPr>
              <w:t>管理层</w:t>
            </w:r>
          </w:p>
        </w:tc>
        <w:tc>
          <w:tcPr>
            <w:tcW w:type="dxa" w:w="2160"/>
          </w:tcPr>
          <w:p>
            <w:r>
              <w:rPr>
                <w:rFonts w:ascii="Times New Roman" w:hAnsi="Times New Roman" w:eastAsia="宋体"/>
                <w:sz w:val="21"/>
              </w:rPr>
              <w:t>看清在办、停滞和忙闲</w:t>
            </w:r>
          </w:p>
        </w:tc>
        <w:tc>
          <w:tcPr>
            <w:tcW w:type="dxa" w:w="2160"/>
          </w:tcPr>
          <w:p>
            <w:r>
              <w:rPr>
                <w:rFonts w:ascii="Times New Roman" w:hAnsi="Times New Roman" w:eastAsia="宋体"/>
                <w:sz w:val="21"/>
              </w:rPr>
              <w:t>项目群监控</w:t>
            </w:r>
          </w:p>
        </w:tc>
        <w:tc>
          <w:tcPr>
            <w:tcW w:type="dxa" w:w="2160"/>
          </w:tcPr>
          <w:p>
            <w:r>
              <w:rPr>
                <w:rFonts w:ascii="Times New Roman" w:hAnsi="Times New Roman" w:eastAsia="宋体"/>
                <w:sz w:val="21"/>
              </w:rPr>
              <w:t>清单、日历、报告</w:t>
            </w:r>
          </w:p>
        </w:tc>
      </w:tr>
      <w:tr>
        <w:tc>
          <w:tcPr>
            <w:tcW w:type="dxa" w:w="2160"/>
          </w:tcPr>
          <w:p>
            <w:r>
              <w:rPr>
                <w:rFonts w:ascii="Times New Roman" w:hAnsi="Times New Roman" w:eastAsia="宋体"/>
                <w:sz w:val="21"/>
              </w:rPr>
              <w:t>业务申报人</w:t>
            </w:r>
          </w:p>
        </w:tc>
        <w:tc>
          <w:tcPr>
            <w:tcW w:type="dxa" w:w="2160"/>
          </w:tcPr>
          <w:p>
            <w:r>
              <w:rPr>
                <w:rFonts w:ascii="Times New Roman" w:hAnsi="Times New Roman" w:eastAsia="宋体"/>
                <w:sz w:val="21"/>
              </w:rPr>
              <w:t>按材料生成路径并补件</w:t>
            </w:r>
          </w:p>
        </w:tc>
        <w:tc>
          <w:tcPr>
            <w:tcW w:type="dxa" w:w="2160"/>
          </w:tcPr>
          <w:p>
            <w:r>
              <w:rPr>
                <w:rFonts w:ascii="Times New Roman" w:hAnsi="Times New Roman" w:eastAsia="宋体"/>
                <w:sz w:val="21"/>
              </w:rPr>
              <w:t>立项提交与材料补充</w:t>
            </w:r>
          </w:p>
        </w:tc>
        <w:tc>
          <w:tcPr>
            <w:tcW w:type="dxa" w:w="2160"/>
          </w:tcPr>
          <w:p>
            <w:r>
              <w:rPr>
                <w:rFonts w:ascii="Times New Roman" w:hAnsi="Times New Roman" w:eastAsia="宋体"/>
                <w:sz w:val="21"/>
              </w:rPr>
              <w:t>生成方案、缺件说明</w:t>
            </w:r>
          </w:p>
        </w:tc>
      </w:tr>
      <w:tr>
        <w:tc>
          <w:tcPr>
            <w:tcW w:type="dxa" w:w="2160"/>
          </w:tcPr>
          <w:p>
            <w:r>
              <w:rPr>
                <w:rFonts w:ascii="Times New Roman" w:hAnsi="Times New Roman" w:eastAsia="宋体"/>
                <w:sz w:val="21"/>
              </w:rPr>
              <w:t>合规与法务</w:t>
            </w:r>
          </w:p>
        </w:tc>
        <w:tc>
          <w:tcPr>
            <w:tcW w:type="dxa" w:w="2160"/>
          </w:tcPr>
          <w:p>
            <w:r>
              <w:rPr>
                <w:rFonts w:ascii="Times New Roman" w:hAnsi="Times New Roman" w:eastAsia="宋体"/>
                <w:sz w:val="21"/>
              </w:rPr>
              <w:t>当地限制与报备齐备性</w:t>
            </w:r>
          </w:p>
        </w:tc>
        <w:tc>
          <w:tcPr>
            <w:tcW w:type="dxa" w:w="2160"/>
          </w:tcPr>
          <w:p>
            <w:r>
              <w:rPr>
                <w:rFonts w:ascii="Times New Roman" w:hAnsi="Times New Roman" w:eastAsia="宋体"/>
                <w:sz w:val="21"/>
              </w:rPr>
              <w:t>特种作业审查</w:t>
            </w:r>
          </w:p>
        </w:tc>
        <w:tc>
          <w:tcPr>
            <w:tcW w:type="dxa" w:w="2160"/>
          </w:tcPr>
          <w:p>
            <w:r>
              <w:rPr>
                <w:rFonts w:ascii="Times New Roman" w:hAnsi="Times New Roman" w:eastAsia="宋体"/>
                <w:sz w:val="21"/>
              </w:rPr>
              <w:t>合规发现、法规摘要</w:t>
            </w:r>
          </w:p>
        </w:tc>
      </w:tr>
      <w:tr>
        <w:tc>
          <w:tcPr>
            <w:tcW w:type="dxa" w:w="2160"/>
          </w:tcPr>
          <w:p>
            <w:r>
              <w:rPr>
                <w:rFonts w:ascii="Times New Roman" w:hAnsi="Times New Roman" w:eastAsia="宋体"/>
                <w:sz w:val="21"/>
              </w:rPr>
              <w:t>行政部门</w:t>
            </w:r>
          </w:p>
        </w:tc>
        <w:tc>
          <w:tcPr>
            <w:tcW w:type="dxa" w:w="2160"/>
          </w:tcPr>
          <w:p>
            <w:r>
              <w:rPr>
                <w:rFonts w:ascii="Times New Roman" w:hAnsi="Times New Roman" w:eastAsia="宋体"/>
                <w:sz w:val="21"/>
              </w:rPr>
              <w:t>备案与制度口径一致</w:t>
            </w:r>
          </w:p>
        </w:tc>
        <w:tc>
          <w:tcPr>
            <w:tcW w:type="dxa" w:w="2160"/>
          </w:tcPr>
          <w:p>
            <w:r>
              <w:rPr>
                <w:rFonts w:ascii="Times New Roman" w:hAnsi="Times New Roman" w:eastAsia="宋体"/>
                <w:sz w:val="21"/>
              </w:rPr>
              <w:t>制度学习与容量维护</w:t>
            </w:r>
          </w:p>
        </w:tc>
        <w:tc>
          <w:tcPr>
            <w:tcW w:type="dxa" w:w="2160"/>
          </w:tcPr>
          <w:p>
            <w:r>
              <w:rPr>
                <w:rFonts w:ascii="Times New Roman" w:hAnsi="Times New Roman" w:eastAsia="宋体"/>
                <w:sz w:val="21"/>
              </w:rPr>
              <w:t>学习说明、日历上限</w:t>
            </w:r>
          </w:p>
        </w:tc>
      </w:tr>
    </w:tbl>
    <w:p>
      <w:pPr/>
    </w:p>
    <w:p>
      <w:pPr>
        <w:pStyle w:val="4"/>
      </w:pPr>
      <w:r>
        <w:t>典型应用场景</w:t>
      </w:r>
    </w:p>
    <w:p>
      <w:pPr/>
      <w:r>
        <w:t>日常事项监控：在清单中观察当前节点、停滞码和部门负荷。</w:t>
      </w:r>
    </w:p>
    <w:p>
      <w:pPr/>
      <w:r>
        <w:t>事件影响分析：针对高额立项、无人机作业、制度修订等，快速评估对路径和日历的影响。</w:t>
      </w:r>
    </w:p>
    <w:p>
      <w:pPr/>
      <w:r>
        <w:t>申报生成：根据立项书和附件生成这一单的审批方案。</w:t>
      </w:r>
    </w:p>
    <w:p>
      <w:pPr/>
      <w:r>
        <w:t>合规闸门：对限制区域特种作业给出缺件清单并卡住。</w:t>
      </w:r>
    </w:p>
    <w:p>
      <w:pPr/>
      <w:r>
        <w:t>容量预警：部门并行达到上限时解释延迟。</w:t>
      </w:r>
    </w:p>
    <w:p>
      <w:pPr/>
      <w:r>
        <w:t>制度影响评估：评估并行工作数条款变化对日历的影响。</w:t>
      </w:r>
    </w:p>
    <w:p>
      <w:pPr/>
      <w:r>
        <w:t>对照分析：高额航拍立项与低额内部工具立项的路径分化。</w:t>
      </w:r>
    </w:p>
    <w:p>
      <w:pPr>
        <w:pStyle w:val="1"/>
      </w:pPr>
      <w:r>
        <w:t>技术</w:t>
      </w:r>
    </w:p>
    <w:p>
      <w:pPr>
        <w:pStyle w:val="21"/>
      </w:pPr>
      <w:r>
        <w:t>四层解耦技术架构</w:t>
      </w:r>
    </w:p>
    <w:p>
      <w:pPr>
        <w:pStyle w:val="31"/>
      </w:pPr>
      <w:r>
        <w:t>架构设计</w:t>
      </w:r>
    </w:p>
    <w:p>
      <w:pPr/>
      <w:r>
        <w:t>本方案采用四层解耦架构设计，从上到下依次为应用输出层、调度层、工具层和计算层。调度层统一调用工具层的证据能力和计算层的量化分析能力，并将处理结果提供给前端应用输出层。各层职责清晰、接口标准、独立演进，实现了证据、算法、调度的完全解耦。</w:t>
      </w:r>
    </w:p>
    <w:p>
      <w:pPr>
        <w:jc w:val="center"/>
      </w:pPr>
      <w:r>
        <w:drawing>
          <wp:inline xmlns:a="http://schemas.openxmlformats.org/drawingml/2006/main" xmlns:pic="http://schemas.openxmlformats.org/drawingml/2006/picture">
            <wp:extent cx="5256000" cy="3112777"/>
            <wp:docPr id="3" name="Picture 3"/>
            <wp:cNvGraphicFramePr>
              <a:graphicFrameLocks noChangeAspect="1"/>
            </wp:cNvGraphicFramePr>
            <a:graphic>
              <a:graphicData uri="http://schemas.openxmlformats.org/drawingml/2006/picture">
                <pic:pic>
                  <pic:nvPicPr>
                    <pic:cNvPr id="0" name="tech_arch.png"/>
                    <pic:cNvPicPr/>
                  </pic:nvPicPr>
                  <pic:blipFill>
                    <a:blip r:embed="rId24"/>
                    <a:stretch>
                      <a:fillRect/>
                    </a:stretch>
                  </pic:blipFill>
                  <pic:spPr>
                    <a:xfrm>
                      <a:off x="0" y="0"/>
                      <a:ext cx="5256000" cy="3112777"/>
                    </a:xfrm>
                    <a:prstGeom prst="rect"/>
                  </pic:spPr>
                </pic:pic>
              </a:graphicData>
            </a:graphic>
          </wp:inline>
        </w:drawing>
      </w:r>
    </w:p>
    <w:p>
      <w:pPr>
        <w:pStyle w:val="a7"/>
      </w:pPr>
      <w:r>
        <w:t>图  四层解耦技术架构图</w:t>
      </w:r>
    </w:p>
    <w:p>
      <w:pPr>
        <w:pStyle w:val="4"/>
      </w:pPr>
      <w:r>
        <w:t>各层职责说明</w:t>
      </w:r>
    </w:p>
    <w:p>
      <w:pPr/>
      <w:r>
        <w:t>计算层：独立的路径与闸门算法，负责所有的数值和规则计算工作。只接收标准化的申报要素和门槛参数，只输出结构化的路径与停滞结果。在逻辑上保持独立。</w:t>
      </w:r>
    </w:p>
    <w:p>
      <w:pPr/>
      <w:r>
        <w:t>工具层：标准化的Skills工具集，负责所有制度、申报和法规证据的采集、清洗、标准化输出。每个Skill都是独立的能力单元，可插拔、可扩展。</w:t>
      </w:r>
    </w:p>
    <w:p>
      <w:pPr/>
      <w:r>
        <w:t>调度层：审批领域大模型作为统一调度中枢，负责意图解析、任务拆解、Skill编排、数据转换、算法调用、结果解读。是连接各层的总指挥。</w:t>
      </w:r>
    </w:p>
    <w:p>
      <w:pPr/>
      <w:r>
        <w:t>应用输出层：面向最终用户的应用界面，提供清单、日历、生成方案、时间线、流程图和分析报告等多种输出形态。</w:t>
      </w:r>
    </w:p>
    <w:p>
      <w:pPr>
        <w:pStyle w:val="31"/>
      </w:pPr>
      <w:r>
        <w:t>数据流走向</w:t>
      </w:r>
    </w:p>
    <w:p>
      <w:pPr/>
      <w:r>
        <w:t>完整的数据流形成一个闭环，从申报提交到分析结果输出，经过各层的协同工作：</w:t>
      </w:r>
    </w:p>
    <w:p>
      <w:pPr/>
      <w:r>
        <w:t>（1）用户提交申报材料或制度文件，调度层解析意图，确定需要的证据和计算模型。</w:t>
      </w:r>
    </w:p>
    <w:p>
      <w:pPr/>
      <w:r>
        <w:t>（2）调度层调用对应Skills，工具层完成文本抽取、检索、质量校验和基础标准化，返回结构化数据。</w:t>
      </w:r>
    </w:p>
    <w:p>
      <w:pPr/>
      <w:r>
        <w:t>（3）调度层将工具层返回的结构化数据转换为标准化传导输入量，包括金额、城市、设备、门槛和并行上限。</w:t>
      </w:r>
    </w:p>
    <w:p>
      <w:pPr/>
      <w:r>
        <w:t>（4）调度层调用计算层路径算法，传入标准化参数。</w:t>
      </w:r>
    </w:p>
    <w:p>
      <w:pPr/>
      <w:r>
        <w:t>（5）计算层执行路径求值、闸门判定和容量占用，返回结构化结果。</w:t>
      </w:r>
    </w:p>
    <w:p>
      <w:pPr/>
      <w:r>
        <w:t>（6）调度层解读计算结果，生成自然语言方案和分析结论。</w:t>
      </w:r>
    </w:p>
    <w:p>
      <w:pPr/>
      <w:r>
        <w:t>（7）应用输出层展示清单、日历、方案、流程图和报告。</w:t>
      </w:r>
    </w:p>
    <w:p>
      <w:pPr>
        <w:pStyle w:val="4"/>
      </w:pPr>
      <w:r>
        <w:t>解耦带来的核心价值</w:t>
      </w:r>
    </w:p>
    <w:p>
      <w:pPr/>
      <w:r>
        <w:t>可靠性提升：闸门与容量计算与大模型分离，彻底解决大模型数值幻觉问题。</w:t>
      </w:r>
    </w:p>
    <w:p>
      <w:pPr/>
      <w:r>
        <w:t>迭代效率提升：各层独立开发迭代，通过稳定接口降低局部调整对其他层的影响。</w:t>
      </w:r>
    </w:p>
    <w:p>
      <w:pPr/>
      <w:r>
        <w:t>扩展性增强：新增证据源只需新增Skill，新增闸门类型只需扩展算法，架构保持稳定。</w:t>
      </w:r>
    </w:p>
    <w:p>
      <w:pPr/>
      <w:r>
        <w:t>排障效率提升：分层定位问题，证据问题查Skill、计算问题查算法、解读问题查大模型。</w:t>
      </w:r>
    </w:p>
    <w:p>
      <w:pPr/>
      <w:r>
        <w:t>算力成本优化：大模型专注语义，算法专注求值，避免把计数任务交给生成模型。</w:t>
      </w:r>
    </w:p>
    <w:p>
      <w:pPr>
        <w:pStyle w:val="21"/>
      </w:pPr>
      <w:r>
        <w:t>应用输出层</w:t>
      </w:r>
    </w:p>
    <w:p>
      <w:pPr>
        <w:pStyle w:val="31"/>
      </w:pPr>
      <w:r>
        <w:t>输出形态矩阵</w:t>
      </w:r>
    </w:p>
    <w:p>
      <w:pPr/>
      <w:r>
        <w:t>应用输出层提供多种形态的输出，满足不同场景和用户需求：</w:t>
      </w:r>
    </w:p>
    <w:p>
      <w:pPr>
        <w:pStyle w:val="a7"/>
      </w:pPr>
      <w:r>
        <w:t>表  应用输出形态矩阵</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输出形态</w:t>
            </w:r>
          </w:p>
        </w:tc>
        <w:tc>
          <w:tcPr>
            <w:tcW w:type="dxa" w:w="2880"/>
          </w:tcPr>
          <w:p>
            <w:r>
              <w:rPr>
                <w:rFonts w:ascii="Times New Roman" w:hAnsi="Times New Roman" w:eastAsia="黑体"/>
                <w:b/>
                <w:sz w:val="21"/>
              </w:rPr>
              <w:t>适用场景</w:t>
            </w:r>
          </w:p>
        </w:tc>
        <w:tc>
          <w:tcPr>
            <w:tcW w:type="dxa" w:w="2880"/>
          </w:tcPr>
          <w:p>
            <w:r>
              <w:rPr>
                <w:rFonts w:ascii="Times New Roman" w:hAnsi="Times New Roman" w:eastAsia="黑体"/>
                <w:b/>
                <w:sz w:val="21"/>
              </w:rPr>
              <w:t>特点</w:t>
            </w:r>
          </w:p>
        </w:tc>
      </w:tr>
      <w:tr>
        <w:tc>
          <w:tcPr>
            <w:tcW w:type="dxa" w:w="2880"/>
          </w:tcPr>
          <w:p>
            <w:r>
              <w:rPr>
                <w:rFonts w:ascii="Times New Roman" w:hAnsi="Times New Roman" w:eastAsia="宋体"/>
                <w:sz w:val="21"/>
              </w:rPr>
              <w:t>项目群清单</w:t>
            </w:r>
          </w:p>
        </w:tc>
        <w:tc>
          <w:tcPr>
            <w:tcW w:type="dxa" w:w="2880"/>
          </w:tcPr>
          <w:p>
            <w:r>
              <w:rPr>
                <w:rFonts w:ascii="Times New Roman" w:hAnsi="Times New Roman" w:eastAsia="宋体"/>
                <w:sz w:val="21"/>
              </w:rPr>
              <w:t>管理层巡视在办事项</w:t>
            </w:r>
          </w:p>
        </w:tc>
        <w:tc>
          <w:tcPr>
            <w:tcW w:type="dxa" w:w="2880"/>
          </w:tcPr>
          <w:p>
            <w:r>
              <w:rPr>
                <w:rFonts w:ascii="Times New Roman" w:hAnsi="Times New Roman" w:eastAsia="宋体"/>
                <w:sz w:val="21"/>
              </w:rPr>
              <w:t>展示当前节点、停滞和负荷</w:t>
            </w:r>
          </w:p>
        </w:tc>
      </w:tr>
      <w:tr>
        <w:tc>
          <w:tcPr>
            <w:tcW w:type="dxa" w:w="2880"/>
          </w:tcPr>
          <w:p>
            <w:r>
              <w:rPr>
                <w:rFonts w:ascii="Times New Roman" w:hAnsi="Times New Roman" w:eastAsia="宋体"/>
                <w:sz w:val="21"/>
              </w:rPr>
              <w:t>部门日历</w:t>
            </w:r>
          </w:p>
        </w:tc>
        <w:tc>
          <w:tcPr>
            <w:tcW w:type="dxa" w:w="2880"/>
          </w:tcPr>
          <w:p>
            <w:r>
              <w:rPr>
                <w:rFonts w:ascii="Times New Roman" w:hAnsi="Times New Roman" w:eastAsia="宋体"/>
                <w:sz w:val="21"/>
              </w:rPr>
              <w:t>观察并行容量变化</w:t>
            </w:r>
          </w:p>
        </w:tc>
        <w:tc>
          <w:tcPr>
            <w:tcW w:type="dxa" w:w="2880"/>
          </w:tcPr>
          <w:p>
            <w:r>
              <w:rPr>
                <w:rFonts w:ascii="Times New Roman" w:hAnsi="Times New Roman" w:eastAsia="宋体"/>
                <w:sz w:val="21"/>
              </w:rPr>
              <w:t>把制度上限与在办占用画在同一视图</w:t>
            </w:r>
          </w:p>
        </w:tc>
      </w:tr>
      <w:tr>
        <w:tc>
          <w:tcPr>
            <w:tcW w:type="dxa" w:w="2880"/>
          </w:tcPr>
          <w:p>
            <w:r>
              <w:rPr>
                <w:rFonts w:ascii="Times New Roman" w:hAnsi="Times New Roman" w:eastAsia="宋体"/>
                <w:sz w:val="21"/>
              </w:rPr>
              <w:t>生成方案</w:t>
            </w:r>
          </w:p>
        </w:tc>
        <w:tc>
          <w:tcPr>
            <w:tcW w:type="dxa" w:w="2880"/>
          </w:tcPr>
          <w:p>
            <w:r>
              <w:rPr>
                <w:rFonts w:ascii="Times New Roman" w:hAnsi="Times New Roman" w:eastAsia="宋体"/>
                <w:sz w:val="21"/>
              </w:rPr>
              <w:t>申报人理解本单路径</w:t>
            </w:r>
          </w:p>
        </w:tc>
        <w:tc>
          <w:tcPr>
            <w:tcW w:type="dxa" w:w="2880"/>
          </w:tcPr>
          <w:p>
            <w:r>
              <w:rPr>
                <w:rFonts w:ascii="Times New Roman" w:hAnsi="Times New Roman" w:eastAsia="宋体"/>
                <w:sz w:val="21"/>
              </w:rPr>
              <w:t>说明为何增加节点或插入合规</w:t>
            </w:r>
          </w:p>
        </w:tc>
      </w:tr>
      <w:tr>
        <w:tc>
          <w:tcPr>
            <w:tcW w:type="dxa" w:w="2880"/>
          </w:tcPr>
          <w:p>
            <w:r>
              <w:rPr>
                <w:rFonts w:ascii="Times New Roman" w:hAnsi="Times New Roman" w:eastAsia="宋体"/>
                <w:sz w:val="21"/>
              </w:rPr>
              <w:t>时间线与流程图</w:t>
            </w:r>
          </w:p>
        </w:tc>
        <w:tc>
          <w:tcPr>
            <w:tcW w:type="dxa" w:w="2880"/>
          </w:tcPr>
          <w:p>
            <w:r>
              <w:rPr>
                <w:rFonts w:ascii="Times New Roman" w:hAnsi="Times New Roman" w:eastAsia="宋体"/>
                <w:sz w:val="21"/>
              </w:rPr>
              <w:t>过程追溯</w:t>
            </w:r>
          </w:p>
        </w:tc>
        <w:tc>
          <w:tcPr>
            <w:tcW w:type="dxa" w:w="2880"/>
          </w:tcPr>
          <w:p>
            <w:r>
              <w:rPr>
                <w:rFonts w:ascii="Times New Roman" w:hAnsi="Times New Roman" w:eastAsia="宋体"/>
                <w:sz w:val="21"/>
              </w:rPr>
              <w:t>节点顺序与状态可视化</w:t>
            </w:r>
          </w:p>
        </w:tc>
      </w:tr>
      <w:tr>
        <w:tc>
          <w:tcPr>
            <w:tcW w:type="dxa" w:w="2880"/>
          </w:tcPr>
          <w:p>
            <w:r>
              <w:rPr>
                <w:rFonts w:ascii="Times New Roman" w:hAnsi="Times New Roman" w:eastAsia="宋体"/>
                <w:sz w:val="21"/>
              </w:rPr>
              <w:t>分析报告</w:t>
            </w:r>
          </w:p>
        </w:tc>
        <w:tc>
          <w:tcPr>
            <w:tcW w:type="dxa" w:w="2880"/>
          </w:tcPr>
          <w:p>
            <w:r>
              <w:rPr>
                <w:rFonts w:ascii="Times New Roman" w:hAnsi="Times New Roman" w:eastAsia="宋体"/>
                <w:sz w:val="21"/>
              </w:rPr>
              <w:t>解释停滞和制度依据</w:t>
            </w:r>
          </w:p>
        </w:tc>
        <w:tc>
          <w:tcPr>
            <w:tcW w:type="dxa" w:w="2880"/>
          </w:tcPr>
          <w:p>
            <w:r>
              <w:rPr>
                <w:rFonts w:ascii="Times New Roman" w:hAnsi="Times New Roman" w:eastAsia="宋体"/>
                <w:sz w:val="21"/>
              </w:rPr>
              <w:t>结论、路径、风险与建议同屏</w:t>
            </w:r>
          </w:p>
        </w:tc>
      </w:tr>
    </w:tbl>
    <w:p>
      <w:pPr/>
    </w:p>
    <w:p>
      <w:pPr>
        <w:pStyle w:val="31"/>
      </w:pPr>
      <w:r>
        <w:t>智能分析报告</w:t>
      </w:r>
    </w:p>
    <w:p>
      <w:pPr>
        <w:pStyle w:val="4"/>
      </w:pPr>
      <w:r>
        <w:t>报告类型</w:t>
      </w:r>
    </w:p>
    <w:p>
      <w:pPr/>
      <w:r>
        <w:t>专题深度报告：针对特定申报的深度分析，如城区低空无人机立项的路径与合规审查。</w:t>
      </w:r>
    </w:p>
    <w:p>
      <w:pPr/>
      <w:r>
        <w:t>制度影响报告：针对管理办法修订后的容量变化说明。</w:t>
      </w:r>
    </w:p>
    <w:p>
      <w:pPr/>
      <w:r>
        <w:t>事件点评报告：针对缺件卡住或补件解卡的快速评估。</w:t>
      </w:r>
    </w:p>
    <w:p>
      <w:pPr/>
      <w:r>
        <w:t>对照分析报告：高额特种作业与低额内部事项的路径分化。</w:t>
      </w:r>
    </w:p>
    <w:p>
      <w:pPr>
        <w:pStyle w:val="4"/>
      </w:pPr>
      <w:r>
        <w:t>报告结构</w:t>
      </w:r>
    </w:p>
    <w:p>
      <w:pPr/>
      <w:r>
        <w:t>核心结论：开门见山，给出本单路径是否过线、是否插入合规、是否缺件。</w:t>
      </w:r>
    </w:p>
    <w:p>
      <w:pPr/>
      <w:r>
        <w:t>传导路径：详细分析金额、设备、城市如何改变节点构成。</w:t>
      </w:r>
    </w:p>
    <w:p>
      <w:pPr/>
      <w:r>
        <w:t>量化测算：提供门槛比较、节点数量、负荷占用和延迟。</w:t>
      </w:r>
    </w:p>
    <w:p>
      <w:pPr/>
      <w:r>
        <w:t>分环节影响：分别说明权限链、合规链和容量链。</w:t>
      </w:r>
    </w:p>
    <w:p>
      <w:pPr/>
      <w:r>
        <w:t>风险提示：识别缺件、饱和和法规不确定性。</w:t>
      </w:r>
    </w:p>
    <w:p>
      <w:pPr/>
      <w:r>
        <w:t>对策建议：补传材料、关注部门上限或核对制度口径。</w:t>
      </w:r>
    </w:p>
    <w:p>
      <w:pPr>
        <w:pStyle w:val="4"/>
      </w:pPr>
      <w:r>
        <w:t>可视化展示</w:t>
      </w:r>
    </w:p>
    <w:p>
      <w:pPr/>
      <w:r>
        <w:t>（1）图表类型：</w:t>
      </w:r>
    </w:p>
    <w:p>
      <w:pPr/>
      <w:r>
        <w:t>路径图：展示本单节点顺序和插入的合规环节。</w:t>
      </w:r>
    </w:p>
    <w:p>
      <w:pPr/>
      <w:r>
        <w:t>负荷日历：展示部门并行上限与占用。</w:t>
      </w:r>
    </w:p>
    <w:p>
      <w:pPr/>
      <w:r>
        <w:t>时间线：展示已完成、当前和计划节点。</w:t>
      </w:r>
    </w:p>
    <w:p>
      <w:pPr/>
      <w:r>
        <w:t>对照表：多申报、多情景的路径对比。</w:t>
      </w:r>
    </w:p>
    <w:p>
      <w:pPr/>
      <w:r>
        <w:t>（2）交互能力：</w:t>
      </w:r>
    </w:p>
    <w:p>
      <w:pPr/>
      <w:r>
        <w:t>钻取分析：从清单进入本单方案、合规发现和制度引用。</w:t>
      </w:r>
    </w:p>
    <w:p>
      <w:pPr/>
      <w:r>
        <w:t>材料补充：在缺件状态下续传报备材料并重审。</w:t>
      </w:r>
    </w:p>
    <w:p>
      <w:pPr/>
      <w:r>
        <w:t>情景对照：在高额航拍与低额内部事项之间比较。</w:t>
      </w:r>
    </w:p>
    <w:p>
      <w:pPr/>
      <w:r>
        <w:t>时间轴：查看节点占用与计划完成日期。</w:t>
      </w:r>
    </w:p>
    <w:p>
      <w:pPr>
        <w:pStyle w:val="21"/>
      </w:pPr>
      <w:r>
        <w:t>领域大模型调度层</w:t>
      </w:r>
    </w:p>
    <w:p>
      <w:pPr>
        <w:pStyle w:val="31"/>
      </w:pPr>
      <w:r>
        <w:t>核心职责定位</w:t>
      </w:r>
    </w:p>
    <w:p>
      <w:pPr/>
      <w:r>
        <w:t>大模型作为整个系统的调度中枢，只做语义和逻辑，不做闸门与容量的最终数值计算，主要承担以下核心职责：</w:t>
      </w:r>
    </w:p>
    <w:p>
      <w:pPr>
        <w:pStyle w:val="4"/>
      </w:pPr>
      <w:r>
        <w:t>意图解析与任务拆解</w:t>
      </w:r>
    </w:p>
    <w:p>
      <w:pPr/>
      <w:r>
        <w:t>理解用户提交制度或申报的目标，识别任务类型（制度学习、路径生成、合规审查、材料补充、报告解释）。</w:t>
      </w:r>
    </w:p>
    <w:p>
      <w:pPr/>
      <w:r>
        <w:t>将复杂需求拆解为多个子任务，明确每个子任务的目标、输入、输出。</w:t>
      </w:r>
    </w:p>
    <w:p>
      <w:pPr/>
      <w:r>
        <w:t>判断任务依赖关系，确定执行顺序。</w:t>
      </w:r>
    </w:p>
    <w:p>
      <w:pPr>
        <w:pStyle w:val="4"/>
      </w:pPr>
      <w:r>
        <w:t>Skill编排与调用</w:t>
      </w:r>
    </w:p>
    <w:p>
      <w:pPr/>
      <w:r>
        <w:t>根据任务需求选择需要调用的Skills工具。</w:t>
      </w:r>
    </w:p>
    <w:p>
      <w:pPr/>
      <w:r>
        <w:t>编排调用顺序，处理依赖关系。申报生成需先读取材料，再检索制度，再进入计算。</w:t>
      </w:r>
    </w:p>
    <w:p>
      <w:pPr/>
      <w:r>
        <w:t>控制失败降级：文本不可读时给出说明，法规检索失败时保留本地限制知识。</w:t>
      </w:r>
    </w:p>
    <w:p>
      <w:pPr/>
      <w:r>
        <w:t>多源证据合并：把申报字段、制度片段和法规摘要交叉核对。</w:t>
      </w:r>
    </w:p>
    <w:p>
      <w:pPr>
        <w:pStyle w:val="4"/>
      </w:pPr>
      <w:r>
        <w:t>数据标准化转换</w:t>
      </w:r>
    </w:p>
    <w:p>
      <w:pPr/>
      <w:r>
        <w:t>将Skill返回的原始业务数据，转换为传导模型规定的标准输入。</w:t>
      </w:r>
    </w:p>
    <w:p>
      <w:pPr/>
      <w:r>
        <w:t>统一金额口径、城市名称、设备类型和部门实体。</w:t>
      </w:r>
    </w:p>
    <w:p>
      <w:pPr/>
      <w:r>
        <w:t>缺失值处理：城市未写明时按“未填写城市”进入限制查询，并在方案中声明。</w:t>
      </w:r>
    </w:p>
    <w:p>
      <w:pPr/>
      <w:r>
        <w:t>异常数据识别：否定句导致的伪设备、伪报备不得进入计算。</w:t>
      </w:r>
    </w:p>
    <w:p>
      <w:pPr>
        <w:pStyle w:val="4"/>
      </w:pPr>
      <w:r>
        <w:t>算法调用与参数组装</w:t>
      </w:r>
    </w:p>
    <w:p>
      <w:pPr/>
      <w:r>
        <w:t>选择合适的传导模型组合，例如金额模型与合规模型同时生效。</w:t>
      </w:r>
    </w:p>
    <w:p>
      <w:pPr/>
      <w:r>
        <w:t>组装算法所需的标准化输入参数。</w:t>
      </w:r>
    </w:p>
    <w:p>
      <w:pPr/>
      <w:r>
        <w:t>调用独立路径算法。</w:t>
      </w:r>
    </w:p>
    <w:p>
      <w:pPr/>
      <w:r>
        <w:t>接收算法返回的结构化结果。</w:t>
      </w:r>
    </w:p>
    <w:p>
      <w:pPr>
        <w:pStyle w:val="4"/>
      </w:pPr>
      <w:r>
        <w:t>结果解读与自然语言生成</w:t>
      </w:r>
    </w:p>
    <w:p>
      <w:pPr/>
      <w:r>
        <w:t>将算法输出的节点构成、门槛比较、缺件清单和负荷占用翻译成业务可读结论。</w:t>
      </w:r>
    </w:p>
    <w:p>
      <w:pPr/>
      <w:r>
        <w:t>结合制度片段进行因果梳理和逻辑解释。</w:t>
      </w:r>
    </w:p>
    <w:p>
      <w:pPr/>
      <w:r>
        <w:t>生成分析报告、风险提示和补件建议。</w:t>
      </w:r>
    </w:p>
    <w:p>
      <w:pPr/>
      <w:r>
        <w:t>支持在详情中展示智能体分工和生成说明。</w:t>
      </w:r>
    </w:p>
    <w:p>
      <w:pPr>
        <w:pStyle w:val="4"/>
      </w:pPr>
      <w:r>
        <w:t>大模型绝不承担的工作</w:t>
      </w:r>
    </w:p>
    <w:p>
      <w:pPr/>
      <w:r>
        <w:t>为确保计算可靠性和系统解耦，以下工作严禁由大模型直接完成：</w:t>
      </w:r>
    </w:p>
    <w:p>
      <w:pPr/>
      <w:r>
        <w:t>审批节点的插入、改写和边连接。</w:t>
      </w:r>
    </w:p>
    <w:p>
      <w:pPr/>
      <w:r>
        <w:t>金额与门槛的比较、并行容量计数、日历占用。</w:t>
      </w:r>
    </w:p>
    <w:p>
      <w:pPr/>
      <w:r>
        <w:t>缺件清单的最终闸门判定和停滞码写入。</w:t>
      </w:r>
    </w:p>
    <w:p>
      <w:pPr/>
      <w:r>
        <w:t>时限推演和工作日延迟计算。</w:t>
      </w:r>
    </w:p>
    <w:p>
      <w:pPr/>
      <w:r>
        <w:t>以上所有求值工作全部下沉至计算层的独立传导算法。</w:t>
      </w:r>
    </w:p>
    <w:p>
      <w:pPr>
        <w:pStyle w:val="31"/>
      </w:pPr>
      <w:r>
        <w:t>调度工作流程</w:t>
      </w:r>
    </w:p>
    <w:p>
      <w:pPr/>
      <w:r>
        <w:t>制度学习调度：解析上传意图，调用制度解析与部门容量Skill，将并行上限交给计算层写入部门主数据，再由输出层刷新日历。</w:t>
      </w:r>
    </w:p>
    <w:p>
      <w:pPr/>
      <w:r>
        <w:t>申报生成调度：读取全部附件与正文，抽取标准申报对象，检索制度，组装金额、设备和城市参数，调用路径算法，再调用合规审查与联网查法，最后生成方案和报告。</w:t>
      </w:r>
    </w:p>
    <w:p>
      <w:pPr/>
      <w:r>
        <w:t>材料补充调度：在原申报对象上合并新附件，重新审查缺件，只有计算层确认报备齐备后才解除停滞。</w:t>
      </w:r>
    </w:p>
    <w:p>
      <w:pPr/>
      <w:r>
        <w:t>报告调度：读取路径结果、制度引用、合规发现和负荷诊断，生成结构化说明，不回写节点拓扑。</w:t>
      </w:r>
    </w:p>
    <w:p>
      <w:pPr>
        <w:pStyle w:val="31"/>
      </w:pPr>
      <w:r>
        <w:t>数据标准化转换</w:t>
      </w:r>
    </w:p>
    <w:p>
      <w:pPr>
        <w:pStyle w:val="4"/>
      </w:pPr>
      <w:r>
        <w:t>转换规则示例</w:t>
      </w:r>
    </w:p>
    <w:p>
      <w:pPr>
        <w:pStyle w:val="a7"/>
      </w:pPr>
      <w:r>
        <w:t>表  原始业务数据标准化转换示例</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原始业务数据（Skill输出）</w:t>
            </w:r>
          </w:p>
        </w:tc>
        <w:tc>
          <w:tcPr>
            <w:tcW w:type="dxa" w:w="2880"/>
          </w:tcPr>
          <w:p>
            <w:r>
              <w:rPr>
                <w:rFonts w:ascii="Times New Roman" w:hAnsi="Times New Roman" w:eastAsia="黑体"/>
                <w:b/>
                <w:sz w:val="21"/>
              </w:rPr>
              <w:t>转换方法</w:t>
            </w:r>
          </w:p>
        </w:tc>
        <w:tc>
          <w:tcPr>
            <w:tcW w:type="dxa" w:w="2880"/>
          </w:tcPr>
          <w:p>
            <w:r>
              <w:rPr>
                <w:rFonts w:ascii="Times New Roman" w:hAnsi="Times New Roman" w:eastAsia="黑体"/>
                <w:b/>
                <w:sz w:val="21"/>
              </w:rPr>
              <w:t>标准化传导量（算法输入）</w:t>
            </w:r>
          </w:p>
        </w:tc>
      </w:tr>
      <w:tr>
        <w:tc>
          <w:tcPr>
            <w:tcW w:type="dxa" w:w="2880"/>
          </w:tcPr>
          <w:p>
            <w:r>
              <w:rPr>
                <w:rFonts w:ascii="Times New Roman" w:hAnsi="Times New Roman" w:eastAsia="宋体"/>
                <w:sz w:val="21"/>
              </w:rPr>
              <w:t>正文“总投资620万元”</w:t>
            </w:r>
          </w:p>
        </w:tc>
        <w:tc>
          <w:tcPr>
            <w:tcW w:type="dxa" w:w="2880"/>
          </w:tcPr>
          <w:p>
            <w:r>
              <w:rPr>
                <w:rFonts w:ascii="Times New Roman" w:hAnsi="Times New Roman" w:eastAsia="宋体"/>
                <w:sz w:val="21"/>
              </w:rPr>
              <w:t>统一为元</w:t>
            </w:r>
          </w:p>
        </w:tc>
        <w:tc>
          <w:tcPr>
            <w:tcW w:type="dxa" w:w="2880"/>
          </w:tcPr>
          <w:p>
            <w:r>
              <w:rPr>
                <w:rFonts w:ascii="Times New Roman" w:hAnsi="Times New Roman" w:eastAsia="宋体"/>
                <w:sz w:val="21"/>
              </w:rPr>
              <w:t>amount=6200000</w:t>
            </w:r>
          </w:p>
        </w:tc>
      </w:tr>
      <w:tr>
        <w:tc>
          <w:tcPr>
            <w:tcW w:type="dxa" w:w="2880"/>
          </w:tcPr>
          <w:p>
            <w:r>
              <w:rPr>
                <w:rFonts w:ascii="Times New Roman" w:hAnsi="Times New Roman" w:eastAsia="宋体"/>
                <w:sz w:val="21"/>
              </w:rPr>
              <w:t>“北京中心城区”</w:t>
            </w:r>
          </w:p>
        </w:tc>
        <w:tc>
          <w:tcPr>
            <w:tcW w:type="dxa" w:w="2880"/>
          </w:tcPr>
          <w:p>
            <w:r>
              <w:rPr>
                <w:rFonts w:ascii="Times New Roman" w:hAnsi="Times New Roman" w:eastAsia="宋体"/>
                <w:sz w:val="21"/>
              </w:rPr>
              <w:t>城市实体+核心区标记</w:t>
            </w:r>
          </w:p>
        </w:tc>
        <w:tc>
          <w:tcPr>
            <w:tcW w:type="dxa" w:w="2880"/>
          </w:tcPr>
          <w:p>
            <w:r>
              <w:rPr>
                <w:rFonts w:ascii="Times New Roman" w:hAnsi="Times New Roman" w:eastAsia="宋体"/>
                <w:sz w:val="21"/>
              </w:rPr>
              <w:t>city=北京，inner_ring=true</w:t>
            </w:r>
          </w:p>
        </w:tc>
      </w:tr>
      <w:tr>
        <w:tc>
          <w:tcPr>
            <w:tcW w:type="dxa" w:w="2880"/>
          </w:tcPr>
          <w:p>
            <w:r>
              <w:rPr>
                <w:rFonts w:ascii="Times New Roman" w:hAnsi="Times New Roman" w:eastAsia="宋体"/>
                <w:sz w:val="21"/>
              </w:rPr>
              <w:t>出现“无人机”且无否定句</w:t>
            </w:r>
          </w:p>
        </w:tc>
        <w:tc>
          <w:tcPr>
            <w:tcW w:type="dxa" w:w="2880"/>
          </w:tcPr>
          <w:p>
            <w:r>
              <w:rPr>
                <w:rFonts w:ascii="Times New Roman" w:hAnsi="Times New Roman" w:eastAsia="宋体"/>
                <w:sz w:val="21"/>
              </w:rPr>
              <w:t>设备列表</w:t>
            </w:r>
          </w:p>
        </w:tc>
        <w:tc>
          <w:tcPr>
            <w:tcW w:type="dxa" w:w="2880"/>
          </w:tcPr>
          <w:p>
            <w:r>
              <w:rPr>
                <w:rFonts w:ascii="Times New Roman" w:hAnsi="Times New Roman" w:eastAsia="宋体"/>
                <w:sz w:val="21"/>
              </w:rPr>
              <w:t>equipment含无人机</w:t>
            </w:r>
          </w:p>
        </w:tc>
      </w:tr>
      <w:tr>
        <w:tc>
          <w:tcPr>
            <w:tcW w:type="dxa" w:w="2880"/>
          </w:tcPr>
          <w:p>
            <w:r>
              <w:rPr>
                <w:rFonts w:ascii="Times New Roman" w:hAnsi="Times New Roman" w:eastAsia="宋体"/>
                <w:sz w:val="21"/>
              </w:rPr>
              <w:t>“不涉及无人机”</w:t>
            </w:r>
          </w:p>
        </w:tc>
        <w:tc>
          <w:tcPr>
            <w:tcW w:type="dxa" w:w="2880"/>
          </w:tcPr>
          <w:p>
            <w:r>
              <w:rPr>
                <w:rFonts w:ascii="Times New Roman" w:hAnsi="Times New Roman" w:eastAsia="宋体"/>
                <w:sz w:val="21"/>
              </w:rPr>
              <w:t>否定句过滤</w:t>
            </w:r>
          </w:p>
        </w:tc>
        <w:tc>
          <w:tcPr>
            <w:tcW w:type="dxa" w:w="2880"/>
          </w:tcPr>
          <w:p>
            <w:r>
              <w:rPr>
                <w:rFonts w:ascii="Times New Roman" w:hAnsi="Times New Roman" w:eastAsia="宋体"/>
                <w:sz w:val="21"/>
              </w:rPr>
              <w:t>equipment为空</w:t>
            </w:r>
          </w:p>
        </w:tc>
      </w:tr>
      <w:tr>
        <w:tc>
          <w:tcPr>
            <w:tcW w:type="dxa" w:w="2880"/>
          </w:tcPr>
          <w:p>
            <w:r>
              <w:rPr>
                <w:rFonts w:ascii="Times New Roman" w:hAnsi="Times New Roman" w:eastAsia="宋体"/>
                <w:sz w:val="21"/>
              </w:rPr>
              <w:t>“未附空域批准”</w:t>
            </w:r>
          </w:p>
        </w:tc>
        <w:tc>
          <w:tcPr>
            <w:tcW w:type="dxa" w:w="2880"/>
          </w:tcPr>
          <w:p>
            <w:r>
              <w:rPr>
                <w:rFonts w:ascii="Times New Roman" w:hAnsi="Times New Roman" w:eastAsia="宋体"/>
                <w:sz w:val="21"/>
              </w:rPr>
              <w:t>缺件识别</w:t>
            </w:r>
          </w:p>
        </w:tc>
        <w:tc>
          <w:tcPr>
            <w:tcW w:type="dxa" w:w="2880"/>
          </w:tcPr>
          <w:p>
            <w:r>
              <w:rPr>
                <w:rFonts w:ascii="Times New Roman" w:hAnsi="Times New Roman" w:eastAsia="宋体"/>
                <w:sz w:val="21"/>
              </w:rPr>
              <w:t>has_filing_docs=false</w:t>
            </w:r>
          </w:p>
        </w:tc>
      </w:tr>
      <w:tr>
        <w:tc>
          <w:tcPr>
            <w:tcW w:type="dxa" w:w="2880"/>
          </w:tcPr>
          <w:p>
            <w:r>
              <w:rPr>
                <w:rFonts w:ascii="Times New Roman" w:hAnsi="Times New Roman" w:eastAsia="宋体"/>
                <w:sz w:val="21"/>
              </w:rPr>
              <w:t>“研发部建议并行工作数为1”</w:t>
            </w:r>
          </w:p>
        </w:tc>
        <w:tc>
          <w:tcPr>
            <w:tcW w:type="dxa" w:w="2880"/>
          </w:tcPr>
          <w:p>
            <w:r>
              <w:rPr>
                <w:rFonts w:ascii="Times New Roman" w:hAnsi="Times New Roman" w:eastAsia="宋体"/>
                <w:sz w:val="21"/>
              </w:rPr>
              <w:t>部门实体+上限</w:t>
            </w:r>
          </w:p>
        </w:tc>
        <w:tc>
          <w:tcPr>
            <w:tcW w:type="dxa" w:w="2880"/>
          </w:tcPr>
          <w:p>
            <w:r>
              <w:rPr>
                <w:rFonts w:ascii="Times New Roman" w:hAnsi="Times New Roman" w:eastAsia="宋体"/>
                <w:sz w:val="21"/>
              </w:rPr>
              <w:t>parallel_limit=1</w:t>
            </w:r>
          </w:p>
        </w:tc>
      </w:tr>
    </w:tbl>
    <w:p>
      <w:pPr/>
    </w:p>
    <w:p>
      <w:pPr>
        <w:pStyle w:val="4"/>
      </w:pPr>
      <w:r>
        <w:t>转换处理流程</w:t>
      </w:r>
    </w:p>
    <w:p>
      <w:pPr/>
      <w:r>
        <w:t>抽取原文表达，识别数量、地名、设备、附件和部门。</w:t>
      </w:r>
    </w:p>
    <w:p>
      <w:pPr/>
      <w:r>
        <w:t>做否定句和缺件句校验，避免字面命中造成误传导。</w:t>
      </w:r>
    </w:p>
    <w:p>
      <w:pPr/>
      <w:r>
        <w:t>映射到标准实体和标准单位。</w:t>
      </w:r>
    </w:p>
    <w:p>
      <w:pPr/>
      <w:r>
        <w:t>形成算法输入对象，供路径、合规、容量模型使用。</w:t>
      </w:r>
    </w:p>
    <w:p>
      <w:pPr>
        <w:pStyle w:val="4"/>
      </w:pPr>
      <w:r>
        <w:t>情景参数动态组装</w:t>
      </w:r>
    </w:p>
    <w:p>
      <w:pPr/>
      <w:r>
        <w:t>当金额达到或超过门槛时，组装“高层审批开启”参数。</w:t>
      </w:r>
    </w:p>
    <w:p>
      <w:pPr/>
      <w:r>
        <w:t>当设备列表包含无人机时，组装“合规节点开启”和限制查询参数。</w:t>
      </w:r>
    </w:p>
    <w:p>
      <w:pPr/>
      <w:r>
        <w:t>当制度给出新的并行上限时，组装容量冲击参数。</w:t>
      </w:r>
    </w:p>
    <w:p>
      <w:pPr/>
      <w:r>
        <w:t>当补传材料覆盖缺件清单时，组装解卡参数。</w:t>
      </w:r>
    </w:p>
    <w:p>
      <w:pPr>
        <w:pStyle w:val="21"/>
      </w:pPr>
      <w:r>
        <w:t>Skills工具层</w:t>
      </w:r>
    </w:p>
    <w:p>
      <w:pPr>
        <w:pStyle w:val="31"/>
      </w:pPr>
      <w:r>
        <w:t>Skill分类与能力矩阵</w:t>
      </w:r>
    </w:p>
    <w:p>
      <w:pPr/>
      <w:r>
        <w:t>所有外部信息获取逻辑封装为独立Skill，按照证据类型和业务领域进行分类管理，形成完整的Skills工具集。</w:t>
      </w:r>
    </w:p>
    <w:p>
      <w:pPr>
        <w:pStyle w:val="a7"/>
      </w:pPr>
      <w:r>
        <w:t>表  Skill分类与能力矩阵</w:t>
      </w:r>
    </w:p>
    <w:tbl>
      <w:tblPr>
        <w:tblStyle w:val="af4"/>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黑体"/>
                <w:b/>
                <w:sz w:val="21"/>
              </w:rPr>
              <w:t>Skill分类</w:t>
            </w:r>
          </w:p>
        </w:tc>
        <w:tc>
          <w:tcPr>
            <w:tcW w:type="dxa" w:w="1728"/>
          </w:tcPr>
          <w:p>
            <w:r>
              <w:rPr>
                <w:rFonts w:ascii="Times New Roman" w:hAnsi="Times New Roman" w:eastAsia="黑体"/>
                <w:b/>
                <w:sz w:val="21"/>
              </w:rPr>
              <w:t>Skill名称</w:t>
            </w:r>
          </w:p>
        </w:tc>
        <w:tc>
          <w:tcPr>
            <w:tcW w:type="dxa" w:w="1728"/>
          </w:tcPr>
          <w:p>
            <w:r>
              <w:rPr>
                <w:rFonts w:ascii="Times New Roman" w:hAnsi="Times New Roman" w:eastAsia="黑体"/>
                <w:b/>
                <w:sz w:val="21"/>
              </w:rPr>
              <w:t>核心能力</w:t>
            </w:r>
          </w:p>
        </w:tc>
        <w:tc>
          <w:tcPr>
            <w:tcW w:type="dxa" w:w="1728"/>
          </w:tcPr>
          <w:p>
            <w:r>
              <w:rPr>
                <w:rFonts w:ascii="Times New Roman" w:hAnsi="Times New Roman" w:eastAsia="黑体"/>
                <w:b/>
                <w:sz w:val="21"/>
              </w:rPr>
              <w:t>覆盖范围</w:t>
            </w:r>
          </w:p>
        </w:tc>
        <w:tc>
          <w:tcPr>
            <w:tcW w:type="dxa" w:w="1728"/>
          </w:tcPr>
          <w:p>
            <w:r>
              <w:rPr>
                <w:rFonts w:ascii="Times New Roman" w:hAnsi="Times New Roman" w:eastAsia="黑体"/>
                <w:b/>
                <w:sz w:val="21"/>
              </w:rPr>
              <w:t>更新频率</w:t>
            </w:r>
          </w:p>
        </w:tc>
      </w:tr>
      <w:tr>
        <w:tc>
          <w:tcPr>
            <w:tcW w:type="dxa" w:w="1728"/>
          </w:tcPr>
          <w:p>
            <w:r>
              <w:rPr>
                <w:rFonts w:ascii="Times New Roman" w:hAnsi="Times New Roman" w:eastAsia="宋体"/>
                <w:sz w:val="21"/>
              </w:rPr>
              <w:t>制度</w:t>
            </w:r>
          </w:p>
        </w:tc>
        <w:tc>
          <w:tcPr>
            <w:tcW w:type="dxa" w:w="1728"/>
          </w:tcPr>
          <w:p>
            <w:r>
              <w:rPr>
                <w:rFonts w:ascii="Times New Roman" w:hAnsi="Times New Roman" w:eastAsia="宋体"/>
                <w:sz w:val="21"/>
              </w:rPr>
              <w:t>PolicyParseSkill</w:t>
            </w:r>
          </w:p>
        </w:tc>
        <w:tc>
          <w:tcPr>
            <w:tcW w:type="dxa" w:w="1728"/>
          </w:tcPr>
          <w:p>
            <w:r>
              <w:rPr>
                <w:rFonts w:ascii="Times New Roman" w:hAnsi="Times New Roman" w:eastAsia="宋体"/>
                <w:sz w:val="21"/>
              </w:rPr>
              <w:t>解析管理办法文本</w:t>
            </w:r>
          </w:p>
        </w:tc>
        <w:tc>
          <w:tcPr>
            <w:tcW w:type="dxa" w:w="1728"/>
          </w:tcPr>
          <w:p>
            <w:r>
              <w:rPr>
                <w:rFonts w:ascii="Times New Roman" w:hAnsi="Times New Roman" w:eastAsia="宋体"/>
                <w:sz w:val="21"/>
              </w:rPr>
              <w:t>权限、时限、并行条款</w:t>
            </w:r>
          </w:p>
        </w:tc>
        <w:tc>
          <w:tcPr>
            <w:tcW w:type="dxa" w:w="1728"/>
          </w:tcPr>
          <w:p>
            <w:r>
              <w:rPr>
                <w:rFonts w:ascii="Times New Roman" w:hAnsi="Times New Roman" w:eastAsia="宋体"/>
                <w:sz w:val="21"/>
              </w:rPr>
              <w:t>制度上传时</w:t>
            </w:r>
          </w:p>
        </w:tc>
      </w:tr>
      <w:tr>
        <w:tc>
          <w:tcPr>
            <w:tcW w:type="dxa" w:w="1728"/>
          </w:tcPr>
          <w:p>
            <w:r>
              <w:rPr>
                <w:rFonts w:ascii="Times New Roman" w:hAnsi="Times New Roman" w:eastAsia="宋体"/>
                <w:sz w:val="21"/>
              </w:rPr>
              <w:t>制度</w:t>
            </w:r>
          </w:p>
        </w:tc>
        <w:tc>
          <w:tcPr>
            <w:tcW w:type="dxa" w:w="1728"/>
          </w:tcPr>
          <w:p>
            <w:r>
              <w:rPr>
                <w:rFonts w:ascii="Times New Roman" w:hAnsi="Times New Roman" w:eastAsia="宋体"/>
                <w:sz w:val="21"/>
              </w:rPr>
              <w:t>PolicyRetrieveSkill</w:t>
            </w:r>
          </w:p>
        </w:tc>
        <w:tc>
          <w:tcPr>
            <w:tcW w:type="dxa" w:w="1728"/>
          </w:tcPr>
          <w:p>
            <w:r>
              <w:rPr>
                <w:rFonts w:ascii="Times New Roman" w:hAnsi="Times New Roman" w:eastAsia="宋体"/>
                <w:sz w:val="21"/>
              </w:rPr>
              <w:t>按申报检索条款</w:t>
            </w:r>
          </w:p>
        </w:tc>
        <w:tc>
          <w:tcPr>
            <w:tcW w:type="dxa" w:w="1728"/>
          </w:tcPr>
          <w:p>
            <w:r>
              <w:rPr>
                <w:rFonts w:ascii="Times New Roman" w:hAnsi="Times New Roman" w:eastAsia="宋体"/>
                <w:sz w:val="21"/>
              </w:rPr>
              <w:t>立项、金额、设备相关</w:t>
            </w:r>
          </w:p>
        </w:tc>
        <w:tc>
          <w:tcPr>
            <w:tcW w:type="dxa" w:w="1728"/>
          </w:tcPr>
          <w:p>
            <w:r>
              <w:rPr>
                <w:rFonts w:ascii="Times New Roman" w:hAnsi="Times New Roman" w:eastAsia="宋体"/>
                <w:sz w:val="21"/>
              </w:rPr>
              <w:t>每次生成</w:t>
            </w:r>
          </w:p>
        </w:tc>
      </w:tr>
      <w:tr>
        <w:tc>
          <w:tcPr>
            <w:tcW w:type="dxa" w:w="1728"/>
          </w:tcPr>
          <w:p>
            <w:r>
              <w:rPr>
                <w:rFonts w:ascii="Times New Roman" w:hAnsi="Times New Roman" w:eastAsia="宋体"/>
                <w:sz w:val="21"/>
              </w:rPr>
              <w:t>组织</w:t>
            </w:r>
          </w:p>
        </w:tc>
        <w:tc>
          <w:tcPr>
            <w:tcW w:type="dxa" w:w="1728"/>
          </w:tcPr>
          <w:p>
            <w:r>
              <w:rPr>
                <w:rFonts w:ascii="Times New Roman" w:hAnsi="Times New Roman" w:eastAsia="宋体"/>
                <w:sz w:val="21"/>
              </w:rPr>
              <w:t>DeptCapacitySkill</w:t>
            </w:r>
          </w:p>
        </w:tc>
        <w:tc>
          <w:tcPr>
            <w:tcW w:type="dxa" w:w="1728"/>
          </w:tcPr>
          <w:p>
            <w:r>
              <w:rPr>
                <w:rFonts w:ascii="Times New Roman" w:hAnsi="Times New Roman" w:eastAsia="宋体"/>
                <w:sz w:val="21"/>
              </w:rPr>
              <w:t>抽取并写回并行上限</w:t>
            </w:r>
          </w:p>
        </w:tc>
        <w:tc>
          <w:tcPr>
            <w:tcW w:type="dxa" w:w="1728"/>
          </w:tcPr>
          <w:p>
            <w:r>
              <w:rPr>
                <w:rFonts w:ascii="Times New Roman" w:hAnsi="Times New Roman" w:eastAsia="宋体"/>
                <w:sz w:val="21"/>
              </w:rPr>
              <w:t>已登记部门</w:t>
            </w:r>
          </w:p>
        </w:tc>
        <w:tc>
          <w:tcPr>
            <w:tcW w:type="dxa" w:w="1728"/>
          </w:tcPr>
          <w:p>
            <w:r>
              <w:rPr>
                <w:rFonts w:ascii="Times New Roman" w:hAnsi="Times New Roman" w:eastAsia="宋体"/>
                <w:sz w:val="21"/>
              </w:rPr>
              <w:t>制度学习时</w:t>
            </w:r>
          </w:p>
        </w:tc>
      </w:tr>
      <w:tr>
        <w:tc>
          <w:tcPr>
            <w:tcW w:type="dxa" w:w="1728"/>
          </w:tcPr>
          <w:p>
            <w:r>
              <w:rPr>
                <w:rFonts w:ascii="Times New Roman" w:hAnsi="Times New Roman" w:eastAsia="宋体"/>
                <w:sz w:val="21"/>
              </w:rPr>
              <w:t>申报</w:t>
            </w:r>
          </w:p>
        </w:tc>
        <w:tc>
          <w:tcPr>
            <w:tcW w:type="dxa" w:w="1728"/>
          </w:tcPr>
          <w:p>
            <w:r>
              <w:rPr>
                <w:rFonts w:ascii="Times New Roman" w:hAnsi="Times New Roman" w:eastAsia="宋体"/>
                <w:sz w:val="21"/>
              </w:rPr>
              <w:t>ApplicationReadSkill</w:t>
            </w:r>
          </w:p>
        </w:tc>
        <w:tc>
          <w:tcPr>
            <w:tcW w:type="dxa" w:w="1728"/>
          </w:tcPr>
          <w:p>
            <w:r>
              <w:rPr>
                <w:rFonts w:ascii="Times New Roman" w:hAnsi="Times New Roman" w:eastAsia="宋体"/>
                <w:sz w:val="21"/>
              </w:rPr>
              <w:t>抽取申报对象</w:t>
            </w:r>
          </w:p>
        </w:tc>
        <w:tc>
          <w:tcPr>
            <w:tcW w:type="dxa" w:w="1728"/>
          </w:tcPr>
          <w:p>
            <w:r>
              <w:rPr>
                <w:rFonts w:ascii="Times New Roman" w:hAnsi="Times New Roman" w:eastAsia="宋体"/>
                <w:sz w:val="21"/>
              </w:rPr>
              <w:t>立项书与附件</w:t>
            </w:r>
          </w:p>
        </w:tc>
        <w:tc>
          <w:tcPr>
            <w:tcW w:type="dxa" w:w="1728"/>
          </w:tcPr>
          <w:p>
            <w:r>
              <w:rPr>
                <w:rFonts w:ascii="Times New Roman" w:hAnsi="Times New Roman" w:eastAsia="宋体"/>
                <w:sz w:val="21"/>
              </w:rPr>
              <w:t>每次提交</w:t>
            </w:r>
          </w:p>
        </w:tc>
      </w:tr>
      <w:tr>
        <w:tc>
          <w:tcPr>
            <w:tcW w:type="dxa" w:w="1728"/>
          </w:tcPr>
          <w:p>
            <w:r>
              <w:rPr>
                <w:rFonts w:ascii="Times New Roman" w:hAnsi="Times New Roman" w:eastAsia="宋体"/>
                <w:sz w:val="21"/>
              </w:rPr>
              <w:t>法规</w:t>
            </w:r>
          </w:p>
        </w:tc>
        <w:tc>
          <w:tcPr>
            <w:tcW w:type="dxa" w:w="1728"/>
          </w:tcPr>
          <w:p>
            <w:r>
              <w:rPr>
                <w:rFonts w:ascii="Times New Roman" w:hAnsi="Times New Roman" w:eastAsia="宋体"/>
                <w:sz w:val="21"/>
              </w:rPr>
              <w:t>WebLawSkill</w:t>
            </w:r>
          </w:p>
        </w:tc>
        <w:tc>
          <w:tcPr>
            <w:tcW w:type="dxa" w:w="1728"/>
          </w:tcPr>
          <w:p>
            <w:r>
              <w:rPr>
                <w:rFonts w:ascii="Times New Roman" w:hAnsi="Times New Roman" w:eastAsia="宋体"/>
                <w:sz w:val="21"/>
              </w:rPr>
              <w:t>当地限制摘要</w:t>
            </w:r>
          </w:p>
        </w:tc>
        <w:tc>
          <w:tcPr>
            <w:tcW w:type="dxa" w:w="1728"/>
          </w:tcPr>
          <w:p>
            <w:r>
              <w:rPr>
                <w:rFonts w:ascii="Times New Roman" w:hAnsi="Times New Roman" w:eastAsia="宋体"/>
                <w:sz w:val="21"/>
              </w:rPr>
              <w:t>城市×设备主题</w:t>
            </w:r>
          </w:p>
        </w:tc>
        <w:tc>
          <w:tcPr>
            <w:tcW w:type="dxa" w:w="1728"/>
          </w:tcPr>
          <w:p>
            <w:r>
              <w:rPr>
                <w:rFonts w:ascii="Times New Roman" w:hAnsi="Times New Roman" w:eastAsia="宋体"/>
                <w:sz w:val="21"/>
              </w:rPr>
              <w:t>每次合规审查</w:t>
            </w:r>
          </w:p>
        </w:tc>
      </w:tr>
      <w:tr>
        <w:tc>
          <w:tcPr>
            <w:tcW w:type="dxa" w:w="1728"/>
          </w:tcPr>
          <w:p>
            <w:r>
              <w:rPr>
                <w:rFonts w:ascii="Times New Roman" w:hAnsi="Times New Roman" w:eastAsia="宋体"/>
                <w:sz w:val="21"/>
              </w:rPr>
              <w:t>实例</w:t>
            </w:r>
          </w:p>
        </w:tc>
        <w:tc>
          <w:tcPr>
            <w:tcW w:type="dxa" w:w="1728"/>
          </w:tcPr>
          <w:p>
            <w:r>
              <w:rPr>
                <w:rFonts w:ascii="Times New Roman" w:hAnsi="Times New Roman" w:eastAsia="宋体"/>
                <w:sz w:val="21"/>
              </w:rPr>
              <w:t>CaseStateSkill</w:t>
            </w:r>
          </w:p>
        </w:tc>
        <w:tc>
          <w:tcPr>
            <w:tcW w:type="dxa" w:w="1728"/>
          </w:tcPr>
          <w:p>
            <w:r>
              <w:rPr>
                <w:rFonts w:ascii="Times New Roman" w:hAnsi="Times New Roman" w:eastAsia="宋体"/>
                <w:sz w:val="21"/>
              </w:rPr>
              <w:t>在办与补传状态</w:t>
            </w:r>
          </w:p>
        </w:tc>
        <w:tc>
          <w:tcPr>
            <w:tcW w:type="dxa" w:w="1728"/>
          </w:tcPr>
          <w:p>
            <w:r>
              <w:rPr>
                <w:rFonts w:ascii="Times New Roman" w:hAnsi="Times New Roman" w:eastAsia="宋体"/>
                <w:sz w:val="21"/>
              </w:rPr>
              <w:t>项目群</w:t>
            </w:r>
          </w:p>
        </w:tc>
        <w:tc>
          <w:tcPr>
            <w:tcW w:type="dxa" w:w="1728"/>
          </w:tcPr>
          <w:p>
            <w:r>
              <w:rPr>
                <w:rFonts w:ascii="Times New Roman" w:hAnsi="Times New Roman" w:eastAsia="宋体"/>
                <w:sz w:val="21"/>
              </w:rPr>
              <w:t>实时</w:t>
            </w:r>
          </w:p>
        </w:tc>
      </w:tr>
    </w:tbl>
    <w:p>
      <w:pPr/>
    </w:p>
    <w:p>
      <w:pPr>
        <w:pStyle w:val="4"/>
      </w:pPr>
      <w:r>
        <w:t>核心Skill详解</w:t>
      </w:r>
    </w:p>
    <w:p>
      <w:pPr/>
      <w:r>
        <w:t>ApplicationReadSkill（申报读取技能）：覆盖立项书、说明书和附件文本，抽取标题、类别、金额、城市、部门、申请人、设备列表和报备迹象，并对否定句做过滤。</w:t>
      </w:r>
    </w:p>
    <w:p>
      <w:pPr/>
      <w:r>
        <w:t>PolicyRetrieveSkill（制度检索技能）：根据类别、标题、金额、城市和设备组织查询，返回带有来源的制度片段，供路径说明引用。</w:t>
      </w:r>
    </w:p>
    <w:p>
      <w:pPr/>
      <w:r>
        <w:t>WebLawSkill（联网查法技能）：按城市和主题检索当地限制，输出摘要、来源和建议备查材料。检索失败时降级为本地合规知识，不中断闸门计算。</w:t>
      </w:r>
    </w:p>
    <w:p>
      <w:pPr>
        <w:pStyle w:val="31"/>
      </w:pPr>
      <w:r>
        <w:t>Skill统一运行规范</w:t>
      </w:r>
    </w:p>
    <w:p>
      <w:pPr/>
      <w:r>
        <w:t>规范原则：统一入参、统一出参、统一错误处理、统一监控，实现Skill的标准化和可插拔。</w:t>
      </w:r>
    </w:p>
    <w:p>
      <w:pPr>
        <w:pStyle w:val="4"/>
      </w:pPr>
      <w:r>
        <w:t>Skill接口规范</w:t>
      </w:r>
    </w:p>
    <w:p>
      <w:pPr/>
      <w:r>
        <w:t>所有Skill接受统一格式的输入参数：</w:t>
      </w:r>
    </w:p>
    <w:p>
      <w:pPr/>
      <w:r>
        <w:t>query：查询关键词或条件。</w:t>
      </w:r>
    </w:p>
    <w:p>
      <w:pPr/>
      <w:r>
        <w:t>document：材料文本或制度文本。</w:t>
      </w:r>
    </w:p>
    <w:p>
      <w:pPr/>
      <w:r>
        <w:t>city / topic：法规检索的城市与主题。</w:t>
      </w:r>
    </w:p>
    <w:p>
      <w:pPr/>
      <w:r>
        <w:t>extra_params：扩展参数，不同Skill可自定义。</w:t>
      </w:r>
    </w:p>
    <w:p>
      <w:pPr/>
      <w:r>
        <w:t>所有Skill返回统一的结构化数据，包含：状态、数据点、来源、更新说明、置信度。</w:t>
      </w:r>
    </w:p>
    <w:p>
      <w:pPr>
        <w:pStyle w:val="4"/>
      </w:pPr>
      <w:r>
        <w:t>Skill内部处理规范</w:t>
      </w:r>
    </w:p>
    <w:p>
      <w:pPr/>
      <w:r>
        <w:t>每个Skill内部必须完成以下处理步骤：</w:t>
      </w:r>
    </w:p>
    <w:p>
      <w:pPr/>
      <w:r>
        <w:t>数据采集：从PDF、正文或检索接口获取原始文本。</w:t>
      </w:r>
    </w:p>
    <w:p>
      <w:pPr/>
      <w:r>
        <w:t>数据清洗：去无关页眉、合并段落、保留条款结构。</w:t>
      </w:r>
    </w:p>
    <w:p>
      <w:pPr/>
      <w:r>
        <w:t>缺失值处理：关键字段缺失时给出可计算的默认并在方案中声明。</w:t>
      </w:r>
    </w:p>
    <w:p>
      <w:pPr/>
      <w:r>
        <w:t>口径对齐：金额、部门、设备名称标准化。</w:t>
      </w:r>
    </w:p>
    <w:p>
      <w:pPr/>
      <w:r>
        <w:t>质量评估：标记是否命中否定句、是否来自降级知识。</w:t>
      </w:r>
    </w:p>
    <w:p>
      <w:pPr/>
      <w:r>
        <w:t>格式化输出：按照统一对象输出。</w:t>
      </w:r>
    </w:p>
    <w:p>
      <w:pPr>
        <w:pStyle w:val="4"/>
      </w:pPr>
      <w:r>
        <w:t>错误处理规范</w:t>
      </w:r>
    </w:p>
    <w:p>
      <w:pPr>
        <w:pStyle w:val="a7"/>
      </w:pPr>
      <w:r>
        <w:t>表  Skill错误码及处理策略</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错误码</w:t>
            </w:r>
          </w:p>
        </w:tc>
        <w:tc>
          <w:tcPr>
            <w:tcW w:type="dxa" w:w="2880"/>
          </w:tcPr>
          <w:p>
            <w:r>
              <w:rPr>
                <w:rFonts w:ascii="Times New Roman" w:hAnsi="Times New Roman" w:eastAsia="黑体"/>
                <w:b/>
                <w:sz w:val="21"/>
              </w:rPr>
              <w:t>错误类型</w:t>
            </w:r>
          </w:p>
        </w:tc>
        <w:tc>
          <w:tcPr>
            <w:tcW w:type="dxa" w:w="2880"/>
          </w:tcPr>
          <w:p>
            <w:r>
              <w:rPr>
                <w:rFonts w:ascii="Times New Roman" w:hAnsi="Times New Roman" w:eastAsia="黑体"/>
                <w:b/>
                <w:sz w:val="21"/>
              </w:rPr>
              <w:t>处理策略</w:t>
            </w:r>
          </w:p>
        </w:tc>
      </w:tr>
      <w:tr>
        <w:tc>
          <w:tcPr>
            <w:tcW w:type="dxa" w:w="2880"/>
          </w:tcPr>
          <w:p>
            <w:r>
              <w:rPr>
                <w:rFonts w:ascii="Times New Roman" w:hAnsi="Times New Roman" w:eastAsia="宋体"/>
                <w:sz w:val="21"/>
              </w:rPr>
              <w:t>E_PARAM</w:t>
            </w:r>
          </w:p>
        </w:tc>
        <w:tc>
          <w:tcPr>
            <w:tcW w:type="dxa" w:w="2880"/>
          </w:tcPr>
          <w:p>
            <w:r>
              <w:rPr>
                <w:rFonts w:ascii="Times New Roman" w:hAnsi="Times New Roman" w:eastAsia="宋体"/>
                <w:sz w:val="21"/>
              </w:rPr>
              <w:t>参数缺失或格式错误</w:t>
            </w:r>
          </w:p>
        </w:tc>
        <w:tc>
          <w:tcPr>
            <w:tcW w:type="dxa" w:w="2880"/>
          </w:tcPr>
          <w:p>
            <w:r>
              <w:rPr>
                <w:rFonts w:ascii="Times New Roman" w:hAnsi="Times New Roman" w:eastAsia="宋体"/>
                <w:sz w:val="21"/>
              </w:rPr>
              <w:t>不调用计算层，返回说明</w:t>
            </w:r>
          </w:p>
        </w:tc>
      </w:tr>
      <w:tr>
        <w:tc>
          <w:tcPr>
            <w:tcW w:type="dxa" w:w="2880"/>
          </w:tcPr>
          <w:p>
            <w:r>
              <w:rPr>
                <w:rFonts w:ascii="Times New Roman" w:hAnsi="Times New Roman" w:eastAsia="宋体"/>
                <w:sz w:val="21"/>
              </w:rPr>
              <w:t>E_PARSE</w:t>
            </w:r>
          </w:p>
        </w:tc>
        <w:tc>
          <w:tcPr>
            <w:tcW w:type="dxa" w:w="2880"/>
          </w:tcPr>
          <w:p>
            <w:r>
              <w:rPr>
                <w:rFonts w:ascii="Times New Roman" w:hAnsi="Times New Roman" w:eastAsia="宋体"/>
                <w:sz w:val="21"/>
              </w:rPr>
              <w:t>文本不可读</w:t>
            </w:r>
          </w:p>
        </w:tc>
        <w:tc>
          <w:tcPr>
            <w:tcW w:type="dxa" w:w="2880"/>
          </w:tcPr>
          <w:p>
            <w:r>
              <w:rPr>
                <w:rFonts w:ascii="Times New Roman" w:hAnsi="Times New Roman" w:eastAsia="宋体"/>
                <w:sz w:val="21"/>
              </w:rPr>
              <w:t>跳过该文件，保留其余材料</w:t>
            </w:r>
          </w:p>
        </w:tc>
      </w:tr>
      <w:tr>
        <w:tc>
          <w:tcPr>
            <w:tcW w:type="dxa" w:w="2880"/>
          </w:tcPr>
          <w:p>
            <w:r>
              <w:rPr>
                <w:rFonts w:ascii="Times New Roman" w:hAnsi="Times New Roman" w:eastAsia="宋体"/>
                <w:sz w:val="21"/>
              </w:rPr>
              <w:t>E_SOURCE</w:t>
            </w:r>
          </w:p>
        </w:tc>
        <w:tc>
          <w:tcPr>
            <w:tcW w:type="dxa" w:w="2880"/>
          </w:tcPr>
          <w:p>
            <w:r>
              <w:rPr>
                <w:rFonts w:ascii="Times New Roman" w:hAnsi="Times New Roman" w:eastAsia="宋体"/>
                <w:sz w:val="21"/>
              </w:rPr>
              <w:t>法规源不可用</w:t>
            </w:r>
          </w:p>
        </w:tc>
        <w:tc>
          <w:tcPr>
            <w:tcW w:type="dxa" w:w="2880"/>
          </w:tcPr>
          <w:p>
            <w:r>
              <w:rPr>
                <w:rFonts w:ascii="Times New Roman" w:hAnsi="Times New Roman" w:eastAsia="宋体"/>
                <w:sz w:val="21"/>
              </w:rPr>
              <w:t>降级本地限制知识</w:t>
            </w:r>
          </w:p>
        </w:tc>
      </w:tr>
      <w:tr>
        <w:tc>
          <w:tcPr>
            <w:tcW w:type="dxa" w:w="2880"/>
          </w:tcPr>
          <w:p>
            <w:r>
              <w:rPr>
                <w:rFonts w:ascii="Times New Roman" w:hAnsi="Times New Roman" w:eastAsia="宋体"/>
                <w:sz w:val="21"/>
              </w:rPr>
              <w:t>E_EMPTY</w:t>
            </w:r>
          </w:p>
        </w:tc>
        <w:tc>
          <w:tcPr>
            <w:tcW w:type="dxa" w:w="2880"/>
          </w:tcPr>
          <w:p>
            <w:r>
              <w:rPr>
                <w:rFonts w:ascii="Times New Roman" w:hAnsi="Times New Roman" w:eastAsia="宋体"/>
                <w:sz w:val="21"/>
              </w:rPr>
              <w:t>未抽取到关键字段</w:t>
            </w:r>
          </w:p>
        </w:tc>
        <w:tc>
          <w:tcPr>
            <w:tcW w:type="dxa" w:w="2880"/>
          </w:tcPr>
          <w:p>
            <w:r>
              <w:rPr>
                <w:rFonts w:ascii="Times New Roman" w:hAnsi="Times New Roman" w:eastAsia="宋体"/>
                <w:sz w:val="21"/>
              </w:rPr>
              <w:t>规则回退并在方案中声明</w:t>
            </w:r>
          </w:p>
        </w:tc>
      </w:tr>
      <w:tr>
        <w:tc>
          <w:tcPr>
            <w:tcW w:type="dxa" w:w="2880"/>
          </w:tcPr>
          <w:p>
            <w:r>
              <w:rPr>
                <w:rFonts w:ascii="Times New Roman" w:hAnsi="Times New Roman" w:eastAsia="宋体"/>
                <w:sz w:val="21"/>
              </w:rPr>
              <w:t>E_TIMEOUT</w:t>
            </w:r>
          </w:p>
        </w:tc>
        <w:tc>
          <w:tcPr>
            <w:tcW w:type="dxa" w:w="2880"/>
          </w:tcPr>
          <w:p>
            <w:r>
              <w:rPr>
                <w:rFonts w:ascii="Times New Roman" w:hAnsi="Times New Roman" w:eastAsia="宋体"/>
                <w:sz w:val="21"/>
              </w:rPr>
              <w:t>调用超时</w:t>
            </w:r>
          </w:p>
        </w:tc>
        <w:tc>
          <w:tcPr>
            <w:tcW w:type="dxa" w:w="2880"/>
          </w:tcPr>
          <w:p>
            <w:r>
              <w:rPr>
                <w:rFonts w:ascii="Times New Roman" w:hAnsi="Times New Roman" w:eastAsia="宋体"/>
                <w:sz w:val="21"/>
              </w:rPr>
              <w:t>重试一次后降级</w:t>
            </w:r>
          </w:p>
        </w:tc>
      </w:tr>
    </w:tbl>
    <w:p>
      <w:pPr/>
    </w:p>
    <w:p>
      <w:pPr>
        <w:pStyle w:val="31"/>
      </w:pPr>
      <w:r>
        <w:t>Skill调用控制机制</w:t>
      </w:r>
    </w:p>
    <w:p>
      <w:pPr>
        <w:pStyle w:val="4"/>
      </w:pPr>
      <w:r>
        <w:t>调用策略</w:t>
      </w:r>
    </w:p>
    <w:p>
      <w:pPr/>
      <w:r>
        <w:t>大模型根据任务依赖关系，选择调用策略：</w:t>
      </w:r>
    </w:p>
    <w:p>
      <w:pPr/>
      <w:r>
        <w:t>并行调用：制度检索与申报读取在材料已齐备时可并行准备证据。</w:t>
      </w:r>
    </w:p>
    <w:p>
      <w:pPr/>
      <w:r>
        <w:t>串行调用：路径生成必须在申报对象形成之后，合规审查必须在设备字段确定之后。</w:t>
      </w:r>
    </w:p>
    <w:p>
      <w:pPr/>
      <w:r>
        <w:t>混合调用：申报生成采用串行主链，法规检索与报告生成可在主链两侧并行。</w:t>
      </w:r>
    </w:p>
    <w:p>
      <w:pPr/>
      <w:r>
        <w:t>数据质量优先：制度命中片段优先于泛化描述。</w:t>
      </w:r>
    </w:p>
    <w:p>
      <w:pPr/>
      <w:r>
        <w:t>时效性优先：补传材料优先于历史附件判断。</w:t>
      </w:r>
    </w:p>
    <w:p>
      <w:pPr/>
      <w:r>
        <w:t>多源交叉验证：设备是否存在以正文否定句和文件名共同校验。</w:t>
      </w:r>
    </w:p>
    <w:p>
      <w:pPr>
        <w:pStyle w:val="4"/>
      </w:pPr>
      <w:r>
        <w:t>缓存机制</w:t>
      </w:r>
    </w:p>
    <w:p>
      <w:pPr/>
      <w:r>
        <w:t>建立多层缓存机制，减少重复取证：</w:t>
      </w:r>
    </w:p>
    <w:p>
      <w:pPr>
        <w:pStyle w:val="a7"/>
      </w:pPr>
      <w:r>
        <w:t>表  Skill多层缓存机制</w:t>
      </w:r>
    </w:p>
    <w:tbl>
      <w:tblPr>
        <w:tblStyle w:val="af4"/>
        <w:tblW w:type="auto" w:w="0"/>
        <w:tblLayout w:type="autofit"/>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黑体"/>
                <w:b/>
                <w:sz w:val="21"/>
              </w:rPr>
              <w:t>缓存层级</w:t>
            </w:r>
          </w:p>
        </w:tc>
        <w:tc>
          <w:tcPr>
            <w:tcW w:type="dxa" w:w="2160"/>
          </w:tcPr>
          <w:p>
            <w:r>
              <w:rPr>
                <w:rFonts w:ascii="Times New Roman" w:hAnsi="Times New Roman" w:eastAsia="黑体"/>
                <w:b/>
                <w:sz w:val="21"/>
              </w:rPr>
              <w:t>缓存内容</w:t>
            </w:r>
          </w:p>
        </w:tc>
        <w:tc>
          <w:tcPr>
            <w:tcW w:type="dxa" w:w="2160"/>
          </w:tcPr>
          <w:p>
            <w:r>
              <w:rPr>
                <w:rFonts w:ascii="Times New Roman" w:hAnsi="Times New Roman" w:eastAsia="黑体"/>
                <w:b/>
                <w:sz w:val="21"/>
              </w:rPr>
              <w:t>TTL</w:t>
            </w:r>
          </w:p>
        </w:tc>
        <w:tc>
          <w:tcPr>
            <w:tcW w:type="dxa" w:w="2160"/>
          </w:tcPr>
          <w:p>
            <w:r>
              <w:rPr>
                <w:rFonts w:ascii="Times New Roman" w:hAnsi="Times New Roman" w:eastAsia="黑体"/>
                <w:b/>
                <w:sz w:val="21"/>
              </w:rPr>
              <w:t>适用场景</w:t>
            </w:r>
          </w:p>
        </w:tc>
      </w:tr>
      <w:tr>
        <w:tc>
          <w:tcPr>
            <w:tcW w:type="dxa" w:w="2160"/>
          </w:tcPr>
          <w:p>
            <w:r>
              <w:rPr>
                <w:rFonts w:ascii="Times New Roman" w:hAnsi="Times New Roman" w:eastAsia="宋体"/>
                <w:sz w:val="21"/>
              </w:rPr>
              <w:t>制度索引</w:t>
            </w:r>
          </w:p>
        </w:tc>
        <w:tc>
          <w:tcPr>
            <w:tcW w:type="dxa" w:w="2160"/>
          </w:tcPr>
          <w:p>
            <w:r>
              <w:rPr>
                <w:rFonts w:ascii="Times New Roman" w:hAnsi="Times New Roman" w:eastAsia="宋体"/>
                <w:sz w:val="21"/>
              </w:rPr>
              <w:t>已切块的管理办法</w:t>
            </w:r>
          </w:p>
        </w:tc>
        <w:tc>
          <w:tcPr>
            <w:tcW w:type="dxa" w:w="2160"/>
          </w:tcPr>
          <w:p>
            <w:r>
              <w:rPr>
                <w:rFonts w:ascii="Times New Roman" w:hAnsi="Times New Roman" w:eastAsia="宋体"/>
                <w:sz w:val="21"/>
              </w:rPr>
              <w:t>制度重新入库前有效</w:t>
            </w:r>
          </w:p>
        </w:tc>
        <w:tc>
          <w:tcPr>
            <w:tcW w:type="dxa" w:w="2160"/>
          </w:tcPr>
          <w:p>
            <w:r>
              <w:rPr>
                <w:rFonts w:ascii="Times New Roman" w:hAnsi="Times New Roman" w:eastAsia="宋体"/>
                <w:sz w:val="21"/>
              </w:rPr>
              <w:t>重复申报检索</w:t>
            </w:r>
          </w:p>
        </w:tc>
      </w:tr>
      <w:tr>
        <w:tc>
          <w:tcPr>
            <w:tcW w:type="dxa" w:w="2160"/>
          </w:tcPr>
          <w:p>
            <w:r>
              <w:rPr>
                <w:rFonts w:ascii="Times New Roman" w:hAnsi="Times New Roman" w:eastAsia="宋体"/>
                <w:sz w:val="21"/>
              </w:rPr>
              <w:t>部门容量</w:t>
            </w:r>
          </w:p>
        </w:tc>
        <w:tc>
          <w:tcPr>
            <w:tcW w:type="dxa" w:w="2160"/>
          </w:tcPr>
          <w:p>
            <w:r>
              <w:rPr>
                <w:rFonts w:ascii="Times New Roman" w:hAnsi="Times New Roman" w:eastAsia="宋体"/>
                <w:sz w:val="21"/>
              </w:rPr>
              <w:t>并行上限</w:t>
            </w:r>
          </w:p>
        </w:tc>
        <w:tc>
          <w:tcPr>
            <w:tcW w:type="dxa" w:w="2160"/>
          </w:tcPr>
          <w:p>
            <w:r>
              <w:rPr>
                <w:rFonts w:ascii="Times New Roman" w:hAnsi="Times New Roman" w:eastAsia="宋体"/>
                <w:sz w:val="21"/>
              </w:rPr>
              <w:t>下一次制度学习前有效</w:t>
            </w:r>
          </w:p>
        </w:tc>
        <w:tc>
          <w:tcPr>
            <w:tcW w:type="dxa" w:w="2160"/>
          </w:tcPr>
          <w:p>
            <w:r>
              <w:rPr>
                <w:rFonts w:ascii="Times New Roman" w:hAnsi="Times New Roman" w:eastAsia="宋体"/>
                <w:sz w:val="21"/>
              </w:rPr>
              <w:t>日历计算</w:t>
            </w:r>
          </w:p>
        </w:tc>
      </w:tr>
      <w:tr>
        <w:tc>
          <w:tcPr>
            <w:tcW w:type="dxa" w:w="2160"/>
          </w:tcPr>
          <w:p>
            <w:r>
              <w:rPr>
                <w:rFonts w:ascii="Times New Roman" w:hAnsi="Times New Roman" w:eastAsia="宋体"/>
                <w:sz w:val="21"/>
              </w:rPr>
              <w:t>法规摘要</w:t>
            </w:r>
          </w:p>
        </w:tc>
        <w:tc>
          <w:tcPr>
            <w:tcW w:type="dxa" w:w="2160"/>
          </w:tcPr>
          <w:p>
            <w:r>
              <w:rPr>
                <w:rFonts w:ascii="Times New Roman" w:hAnsi="Times New Roman" w:eastAsia="宋体"/>
                <w:sz w:val="21"/>
              </w:rPr>
              <w:t>城市×主题查询结果</w:t>
            </w:r>
          </w:p>
        </w:tc>
        <w:tc>
          <w:tcPr>
            <w:tcW w:type="dxa" w:w="2160"/>
          </w:tcPr>
          <w:p>
            <w:r>
              <w:rPr>
                <w:rFonts w:ascii="Times New Roman" w:hAnsi="Times New Roman" w:eastAsia="宋体"/>
                <w:sz w:val="21"/>
              </w:rPr>
              <w:t>短期有效</w:t>
            </w:r>
          </w:p>
        </w:tc>
        <w:tc>
          <w:tcPr>
            <w:tcW w:type="dxa" w:w="2160"/>
          </w:tcPr>
          <w:p>
            <w:r>
              <w:rPr>
                <w:rFonts w:ascii="Times New Roman" w:hAnsi="Times New Roman" w:eastAsia="宋体"/>
                <w:sz w:val="21"/>
              </w:rPr>
              <w:t>同类作业审查</w:t>
            </w:r>
          </w:p>
        </w:tc>
      </w:tr>
      <w:tr>
        <w:tc>
          <w:tcPr>
            <w:tcW w:type="dxa" w:w="2160"/>
          </w:tcPr>
          <w:p>
            <w:r>
              <w:rPr>
                <w:rFonts w:ascii="Times New Roman" w:hAnsi="Times New Roman" w:eastAsia="宋体"/>
                <w:sz w:val="21"/>
              </w:rPr>
              <w:t>生成路径</w:t>
            </w:r>
          </w:p>
        </w:tc>
        <w:tc>
          <w:tcPr>
            <w:tcW w:type="dxa" w:w="2160"/>
          </w:tcPr>
          <w:p>
            <w:r>
              <w:rPr>
                <w:rFonts w:ascii="Times New Roman" w:hAnsi="Times New Roman" w:eastAsia="宋体"/>
                <w:sz w:val="21"/>
              </w:rPr>
              <w:t>本单节点与说明</w:t>
            </w:r>
          </w:p>
        </w:tc>
        <w:tc>
          <w:tcPr>
            <w:tcW w:type="dxa" w:w="2160"/>
          </w:tcPr>
          <w:p>
            <w:r>
              <w:rPr>
                <w:rFonts w:ascii="Times New Roman" w:hAnsi="Times New Roman" w:eastAsia="宋体"/>
                <w:sz w:val="21"/>
              </w:rPr>
              <w:t>本单生命周期</w:t>
            </w:r>
          </w:p>
        </w:tc>
        <w:tc>
          <w:tcPr>
            <w:tcW w:type="dxa" w:w="2160"/>
          </w:tcPr>
          <w:p>
            <w:r>
              <w:rPr>
                <w:rFonts w:ascii="Times New Roman" w:hAnsi="Times New Roman" w:eastAsia="宋体"/>
                <w:sz w:val="21"/>
              </w:rPr>
              <w:t>详情反复打开</w:t>
            </w:r>
          </w:p>
        </w:tc>
      </w:tr>
    </w:tbl>
    <w:p>
      <w:pPr/>
    </w:p>
    <w:p>
      <w:pPr>
        <w:pStyle w:val="4"/>
      </w:pPr>
      <w:r>
        <w:t>限流与降级</w:t>
      </w:r>
    </w:p>
    <w:p>
      <w:pPr/>
      <w:r>
        <w:t>限流控制：对法规检索设置调用频次限制，避免无约束外发查询；计算层本地求值不受此限。</w:t>
      </w:r>
    </w:p>
    <w:p>
      <w:pPr/>
      <w:r>
        <w:t>降级策略：当大模型不可用时，申报字段回退到规则抽取，路径算法仍可按金额、设备和城市生成可演示结果。</w:t>
      </w:r>
    </w:p>
    <w:p>
      <w:pPr>
        <w:pStyle w:val="4"/>
      </w:pPr>
      <w:r>
        <w:t>数据质量控制</w:t>
      </w:r>
    </w:p>
    <w:p>
      <w:pPr/>
      <w:r>
        <w:t>数据校验：金额范围校验、城市实体校验、设备否定句校验、报备缺件句校验。</w:t>
      </w:r>
    </w:p>
    <w:p>
      <w:pPr/>
      <w:r>
        <w:t>低质量数据处理：标注来源和降级标记，关键闸门不得建立在未校验的字面命中上。</w:t>
      </w:r>
    </w:p>
    <w:p>
      <w:pPr>
        <w:pStyle w:val="21"/>
      </w:pPr>
      <w:r>
        <w:t>传导算法计算层</w:t>
      </w:r>
    </w:p>
    <w:p>
      <w:pPr>
        <w:pStyle w:val="31"/>
      </w:pPr>
      <w:r>
        <w:t>算法定位与设计原则</w:t>
      </w:r>
    </w:p>
    <w:p>
      <w:pPr/>
      <w:r>
        <w:t>计算层定位：纯求值内核，只做路径、闸门和容量计算，不做文本理解，不做交互逻辑。</w:t>
      </w:r>
    </w:p>
    <w:p>
      <w:pPr>
        <w:pStyle w:val="4"/>
      </w:pPr>
      <w:r>
        <w:t>算法定位</w:t>
      </w:r>
    </w:p>
    <w:p>
      <w:pPr/>
      <w:r>
        <w:t>独立传导算法是整个系统的计算引擎，对外接收调度层组装好的标准化输入量，只输出量化结果。</w:t>
      </w:r>
    </w:p>
    <w:p>
      <w:pPr/>
      <w:r>
        <w:t>算法边界：</w:t>
      </w:r>
    </w:p>
    <w:p>
      <w:pPr/>
      <w:r>
        <w:t>做什么：节点链生成、金额门槛比较、合规节点插入、缺件判定、并行占用、停滞诊断、时限推演。</w:t>
      </w:r>
    </w:p>
    <w:p>
      <w:pPr/>
      <w:r>
        <w:t>不做什么：PDF解析、自然语言生成、用户交互、法规网页抓取。</w:t>
      </w:r>
    </w:p>
    <w:p>
      <w:pPr>
        <w:pStyle w:val="4"/>
      </w:pPr>
      <w:r>
        <w:t>设计原则</w:t>
      </w:r>
    </w:p>
    <w:p>
      <w:pPr/>
      <w:r>
        <w:t>纯确定计算：相同输入必然得到相同路径和闸门结果。计算过程可复现。</w:t>
      </w:r>
    </w:p>
    <w:p>
      <w:pPr/>
      <w:r>
        <w:t>高精度可靠：门槛比较、缺件集合和负荷计数采用明确规则，不引入随机采样。</w:t>
      </w:r>
    </w:p>
    <w:p>
      <w:pPr/>
      <w:r>
        <w:t>高性能可扩展：单次申报求值应在交互可接受时间内完成，支持项目群批量诊断。</w:t>
      </w:r>
    </w:p>
    <w:p>
      <w:pPr/>
      <w:r>
        <w:t>标准化接口：统一的输入输出对象，清晰的参数含义。</w:t>
      </w:r>
    </w:p>
    <w:p>
      <w:pPr/>
      <w:r>
        <w:t>独立演进：不依赖大模型即可在给定输入下运行。</w:t>
      </w:r>
    </w:p>
    <w:p>
      <w:pPr>
        <w:pStyle w:val="4"/>
      </w:pPr>
      <w:r>
        <w:t>算法服务架构</w:t>
      </w:r>
    </w:p>
    <w:p>
      <w:pPr>
        <w:pStyle w:val="a7"/>
      </w:pPr>
      <w:r>
        <w:t>表  传导算法服务架构</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层级</w:t>
            </w:r>
          </w:p>
        </w:tc>
        <w:tc>
          <w:tcPr>
            <w:tcW w:type="dxa" w:w="2880"/>
          </w:tcPr>
          <w:p>
            <w:r>
              <w:rPr>
                <w:rFonts w:ascii="Times New Roman" w:hAnsi="Times New Roman" w:eastAsia="黑体"/>
                <w:b/>
                <w:sz w:val="21"/>
              </w:rPr>
              <w:t>组件</w:t>
            </w:r>
          </w:p>
        </w:tc>
        <w:tc>
          <w:tcPr>
            <w:tcW w:type="dxa" w:w="2880"/>
          </w:tcPr>
          <w:p>
            <w:r>
              <w:rPr>
                <w:rFonts w:ascii="Times New Roman" w:hAnsi="Times New Roman" w:eastAsia="黑体"/>
                <w:b/>
                <w:sz w:val="21"/>
              </w:rPr>
              <w:t>职责</w:t>
            </w:r>
          </w:p>
        </w:tc>
      </w:tr>
      <w:tr>
        <w:tc>
          <w:tcPr>
            <w:tcW w:type="dxa" w:w="2880"/>
          </w:tcPr>
          <w:p>
            <w:r>
              <w:rPr>
                <w:rFonts w:ascii="Times New Roman" w:hAnsi="Times New Roman" w:eastAsia="宋体"/>
                <w:sz w:val="21"/>
              </w:rPr>
              <w:t>路径求值</w:t>
            </w:r>
          </w:p>
        </w:tc>
        <w:tc>
          <w:tcPr>
            <w:tcW w:type="dxa" w:w="2880"/>
          </w:tcPr>
          <w:p>
            <w:r>
              <w:rPr>
                <w:rFonts w:ascii="Times New Roman" w:hAnsi="Times New Roman" w:eastAsia="宋体"/>
                <w:sz w:val="21"/>
              </w:rPr>
              <w:t>金额权限模型</w:t>
            </w:r>
          </w:p>
        </w:tc>
        <w:tc>
          <w:tcPr>
            <w:tcW w:type="dxa" w:w="2880"/>
          </w:tcPr>
          <w:p>
            <w:r>
              <w:rPr>
                <w:rFonts w:ascii="Times New Roman" w:hAnsi="Times New Roman" w:eastAsia="宋体"/>
                <w:sz w:val="21"/>
              </w:rPr>
              <w:t>决定是否增加总经理、董事长</w:t>
            </w:r>
          </w:p>
        </w:tc>
      </w:tr>
      <w:tr>
        <w:tc>
          <w:tcPr>
            <w:tcW w:type="dxa" w:w="2880"/>
          </w:tcPr>
          <w:p>
            <w:r>
              <w:rPr>
                <w:rFonts w:ascii="Times New Roman" w:hAnsi="Times New Roman" w:eastAsia="宋体"/>
                <w:sz w:val="21"/>
              </w:rPr>
              <w:t>路径求值</w:t>
            </w:r>
          </w:p>
        </w:tc>
        <w:tc>
          <w:tcPr>
            <w:tcW w:type="dxa" w:w="2880"/>
          </w:tcPr>
          <w:p>
            <w:r>
              <w:rPr>
                <w:rFonts w:ascii="Times New Roman" w:hAnsi="Times New Roman" w:eastAsia="宋体"/>
                <w:sz w:val="21"/>
              </w:rPr>
              <w:t>合规插入模型</w:t>
            </w:r>
          </w:p>
        </w:tc>
        <w:tc>
          <w:tcPr>
            <w:tcW w:type="dxa" w:w="2880"/>
          </w:tcPr>
          <w:p>
            <w:r>
              <w:rPr>
                <w:rFonts w:ascii="Times New Roman" w:hAnsi="Times New Roman" w:eastAsia="宋体"/>
                <w:sz w:val="21"/>
              </w:rPr>
              <w:t>决定是否在归档前插入合规审查</w:t>
            </w:r>
          </w:p>
        </w:tc>
      </w:tr>
      <w:tr>
        <w:tc>
          <w:tcPr>
            <w:tcW w:type="dxa" w:w="2880"/>
          </w:tcPr>
          <w:p>
            <w:r>
              <w:rPr>
                <w:rFonts w:ascii="Times New Roman" w:hAnsi="Times New Roman" w:eastAsia="宋体"/>
                <w:sz w:val="21"/>
              </w:rPr>
              <w:t>闸门</w:t>
            </w:r>
          </w:p>
        </w:tc>
        <w:tc>
          <w:tcPr>
            <w:tcW w:type="dxa" w:w="2880"/>
          </w:tcPr>
          <w:p>
            <w:r>
              <w:rPr>
                <w:rFonts w:ascii="Times New Roman" w:hAnsi="Times New Roman" w:eastAsia="宋体"/>
                <w:sz w:val="21"/>
              </w:rPr>
              <w:t>缺件停滞模型</w:t>
            </w:r>
          </w:p>
        </w:tc>
        <w:tc>
          <w:tcPr>
            <w:tcW w:type="dxa" w:w="2880"/>
          </w:tcPr>
          <w:p>
            <w:r>
              <w:rPr>
                <w:rFonts w:ascii="Times New Roman" w:hAnsi="Times New Roman" w:eastAsia="宋体"/>
                <w:sz w:val="21"/>
              </w:rPr>
              <w:t>决定是否阻断以及阻断在哪一节点</w:t>
            </w:r>
          </w:p>
        </w:tc>
      </w:tr>
      <w:tr>
        <w:tc>
          <w:tcPr>
            <w:tcW w:type="dxa" w:w="2880"/>
          </w:tcPr>
          <w:p>
            <w:r>
              <w:rPr>
                <w:rFonts w:ascii="Times New Roman" w:hAnsi="Times New Roman" w:eastAsia="宋体"/>
                <w:sz w:val="21"/>
              </w:rPr>
              <w:t>容量</w:t>
            </w:r>
          </w:p>
        </w:tc>
        <w:tc>
          <w:tcPr>
            <w:tcW w:type="dxa" w:w="2880"/>
          </w:tcPr>
          <w:p>
            <w:r>
              <w:rPr>
                <w:rFonts w:ascii="Times New Roman" w:hAnsi="Times New Roman" w:eastAsia="宋体"/>
                <w:sz w:val="21"/>
              </w:rPr>
              <w:t>部门占用模型</w:t>
            </w:r>
          </w:p>
        </w:tc>
        <w:tc>
          <w:tcPr>
            <w:tcW w:type="dxa" w:w="2880"/>
          </w:tcPr>
          <w:p>
            <w:r>
              <w:rPr>
                <w:rFonts w:ascii="Times New Roman" w:hAnsi="Times New Roman" w:eastAsia="宋体"/>
                <w:sz w:val="21"/>
              </w:rPr>
              <w:t>计算并行上限、在办数和延迟</w:t>
            </w:r>
          </w:p>
        </w:tc>
      </w:tr>
      <w:tr>
        <w:tc>
          <w:tcPr>
            <w:tcW w:type="dxa" w:w="2880"/>
          </w:tcPr>
          <w:p>
            <w:r>
              <w:rPr>
                <w:rFonts w:ascii="Times New Roman" w:hAnsi="Times New Roman" w:eastAsia="宋体"/>
                <w:sz w:val="21"/>
              </w:rPr>
              <w:t>诊断</w:t>
            </w:r>
          </w:p>
        </w:tc>
        <w:tc>
          <w:tcPr>
            <w:tcW w:type="dxa" w:w="2880"/>
          </w:tcPr>
          <w:p>
            <w:r>
              <w:rPr>
                <w:rFonts w:ascii="Times New Roman" w:hAnsi="Times New Roman" w:eastAsia="宋体"/>
                <w:sz w:val="21"/>
              </w:rPr>
              <w:t>停滞诊断</w:t>
            </w:r>
          </w:p>
        </w:tc>
        <w:tc>
          <w:tcPr>
            <w:tcW w:type="dxa" w:w="2880"/>
          </w:tcPr>
          <w:p>
            <w:r>
              <w:rPr>
                <w:rFonts w:ascii="Times New Roman" w:hAnsi="Times New Roman" w:eastAsia="宋体"/>
                <w:sz w:val="21"/>
              </w:rPr>
              <w:t>输出停滞码、原因和延迟天数</w:t>
            </w:r>
          </w:p>
        </w:tc>
      </w:tr>
    </w:tbl>
    <w:p>
      <w:pPr/>
    </w:p>
    <w:p>
      <w:pPr>
        <w:pStyle w:val="31"/>
      </w:pPr>
      <w:r>
        <w:t>标准输入输出接口</w:t>
      </w:r>
    </w:p>
    <w:p>
      <w:pPr>
        <w:pStyle w:val="4"/>
      </w:pPr>
      <w:r>
        <w:t>标准输入接口</w:t>
      </w:r>
    </w:p>
    <w:p>
      <w:pPr/>
      <w:r>
        <w:t>所有传导模型接受统一的标准输入，包含模型类型、申报要素、制度门槛、容量参数和计算选项。</w:t>
      </w:r>
    </w:p>
    <w:p>
      <w:pPr>
        <w:pStyle w:val="a7"/>
      </w:pPr>
      <w:r>
        <w:t>表  标准输入接口表</w:t>
      </w:r>
    </w:p>
    <w:tbl>
      <w:tblPr>
        <w:tblStyle w:val="af4"/>
        <w:tblW w:type="auto" w:w="0"/>
        <w:tblLayout w:type="autofit"/>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黑体"/>
                <w:b/>
                <w:sz w:val="21"/>
              </w:rPr>
              <w:t>参数名</w:t>
            </w:r>
          </w:p>
        </w:tc>
        <w:tc>
          <w:tcPr>
            <w:tcW w:type="dxa" w:w="2160"/>
          </w:tcPr>
          <w:p>
            <w:r>
              <w:rPr>
                <w:rFonts w:ascii="Times New Roman" w:hAnsi="Times New Roman" w:eastAsia="黑体"/>
                <w:b/>
                <w:sz w:val="21"/>
              </w:rPr>
              <w:t>类型</w:t>
            </w:r>
          </w:p>
        </w:tc>
        <w:tc>
          <w:tcPr>
            <w:tcW w:type="dxa" w:w="2160"/>
          </w:tcPr>
          <w:p>
            <w:r>
              <w:rPr>
                <w:rFonts w:ascii="Times New Roman" w:hAnsi="Times New Roman" w:eastAsia="黑体"/>
                <w:b/>
                <w:sz w:val="21"/>
              </w:rPr>
              <w:t>说明</w:t>
            </w:r>
          </w:p>
        </w:tc>
        <w:tc>
          <w:tcPr>
            <w:tcW w:type="dxa" w:w="2160"/>
          </w:tcPr>
          <w:p>
            <w:r>
              <w:rPr>
                <w:rFonts w:ascii="Times New Roman" w:hAnsi="Times New Roman" w:eastAsia="黑体"/>
                <w:b/>
                <w:sz w:val="21"/>
              </w:rPr>
              <w:t>必填</w:t>
            </w:r>
          </w:p>
        </w:tc>
      </w:tr>
      <w:tr>
        <w:tc>
          <w:tcPr>
            <w:tcW w:type="dxa" w:w="2160"/>
          </w:tcPr>
          <w:p>
            <w:r>
              <w:rPr>
                <w:rFonts w:ascii="Times New Roman" w:hAnsi="Times New Roman" w:eastAsia="宋体"/>
                <w:sz w:val="21"/>
              </w:rPr>
              <w:t>model_type</w:t>
            </w:r>
          </w:p>
        </w:tc>
        <w:tc>
          <w:tcPr>
            <w:tcW w:type="dxa" w:w="2160"/>
          </w:tcPr>
          <w:p>
            <w:r>
              <w:rPr>
                <w:rFonts w:ascii="Times New Roman" w:hAnsi="Times New Roman" w:eastAsia="宋体"/>
                <w:sz w:val="21"/>
              </w:rPr>
              <w:t>字符串</w:t>
            </w:r>
          </w:p>
        </w:tc>
        <w:tc>
          <w:tcPr>
            <w:tcW w:type="dxa" w:w="2160"/>
          </w:tcPr>
          <w:p>
            <w:r>
              <w:rPr>
                <w:rFonts w:ascii="Times New Roman" w:hAnsi="Times New Roman" w:eastAsia="宋体"/>
                <w:sz w:val="21"/>
              </w:rPr>
              <w:t>金额 / 合规 / 容量 / 缺件</w:t>
            </w:r>
          </w:p>
        </w:tc>
        <w:tc>
          <w:tcPr>
            <w:tcW w:type="dxa" w:w="2160"/>
          </w:tcPr>
          <w:p>
            <w:r>
              <w:rPr>
                <w:rFonts w:ascii="Times New Roman" w:hAnsi="Times New Roman" w:eastAsia="宋体"/>
                <w:sz w:val="21"/>
              </w:rPr>
              <w:t>是</w:t>
            </w:r>
          </w:p>
        </w:tc>
      </w:tr>
      <w:tr>
        <w:tc>
          <w:tcPr>
            <w:tcW w:type="dxa" w:w="2160"/>
          </w:tcPr>
          <w:p>
            <w:r>
              <w:rPr>
                <w:rFonts w:ascii="Times New Roman" w:hAnsi="Times New Roman" w:eastAsia="宋体"/>
                <w:sz w:val="21"/>
              </w:rPr>
              <w:t>amount</w:t>
            </w:r>
          </w:p>
        </w:tc>
        <w:tc>
          <w:tcPr>
            <w:tcW w:type="dxa" w:w="2160"/>
          </w:tcPr>
          <w:p>
            <w:r>
              <w:rPr>
                <w:rFonts w:ascii="Times New Roman" w:hAnsi="Times New Roman" w:eastAsia="宋体"/>
                <w:sz w:val="21"/>
              </w:rPr>
              <w:t>数值</w:t>
            </w:r>
          </w:p>
        </w:tc>
        <w:tc>
          <w:tcPr>
            <w:tcW w:type="dxa" w:w="2160"/>
          </w:tcPr>
          <w:p>
            <w:r>
              <w:rPr>
                <w:rFonts w:ascii="Times New Roman" w:hAnsi="Times New Roman" w:eastAsia="宋体"/>
                <w:sz w:val="21"/>
              </w:rPr>
              <w:t>申报金额，单位元</w:t>
            </w:r>
          </w:p>
        </w:tc>
        <w:tc>
          <w:tcPr>
            <w:tcW w:type="dxa" w:w="2160"/>
          </w:tcPr>
          <w:p>
            <w:r>
              <w:rPr>
                <w:rFonts w:ascii="Times New Roman" w:hAnsi="Times New Roman" w:eastAsia="宋体"/>
                <w:sz w:val="21"/>
              </w:rPr>
              <w:t>金额模型必填</w:t>
            </w:r>
          </w:p>
        </w:tc>
      </w:tr>
      <w:tr>
        <w:tc>
          <w:tcPr>
            <w:tcW w:type="dxa" w:w="2160"/>
          </w:tcPr>
          <w:p>
            <w:r>
              <w:rPr>
                <w:rFonts w:ascii="Times New Roman" w:hAnsi="Times New Roman" w:eastAsia="宋体"/>
                <w:sz w:val="21"/>
              </w:rPr>
              <w:t>threshold</w:t>
            </w:r>
          </w:p>
        </w:tc>
        <w:tc>
          <w:tcPr>
            <w:tcW w:type="dxa" w:w="2160"/>
          </w:tcPr>
          <w:p>
            <w:r>
              <w:rPr>
                <w:rFonts w:ascii="Times New Roman" w:hAnsi="Times New Roman" w:eastAsia="宋体"/>
                <w:sz w:val="21"/>
              </w:rPr>
              <w:t>数值</w:t>
            </w:r>
          </w:p>
        </w:tc>
        <w:tc>
          <w:tcPr>
            <w:tcW w:type="dxa" w:w="2160"/>
          </w:tcPr>
          <w:p>
            <w:r>
              <w:rPr>
                <w:rFonts w:ascii="Times New Roman" w:hAnsi="Times New Roman" w:eastAsia="宋体"/>
                <w:sz w:val="21"/>
              </w:rPr>
              <w:t>立项门槛，未写明时用业务示例</w:t>
            </w:r>
          </w:p>
        </w:tc>
        <w:tc>
          <w:tcPr>
            <w:tcW w:type="dxa" w:w="2160"/>
          </w:tcPr>
          <w:p>
            <w:r>
              <w:rPr>
                <w:rFonts w:ascii="Times New Roman" w:hAnsi="Times New Roman" w:eastAsia="宋体"/>
                <w:sz w:val="21"/>
              </w:rPr>
              <w:t>金额模型必填</w:t>
            </w:r>
          </w:p>
        </w:tc>
      </w:tr>
      <w:tr>
        <w:tc>
          <w:tcPr>
            <w:tcW w:type="dxa" w:w="2160"/>
          </w:tcPr>
          <w:p>
            <w:r>
              <w:rPr>
                <w:rFonts w:ascii="Times New Roman" w:hAnsi="Times New Roman" w:eastAsia="宋体"/>
                <w:sz w:val="21"/>
              </w:rPr>
              <w:t>equipment</w:t>
            </w:r>
          </w:p>
        </w:tc>
        <w:tc>
          <w:tcPr>
            <w:tcW w:type="dxa" w:w="2160"/>
          </w:tcPr>
          <w:p>
            <w:r>
              <w:rPr>
                <w:rFonts w:ascii="Times New Roman" w:hAnsi="Times New Roman" w:eastAsia="宋体"/>
                <w:sz w:val="21"/>
              </w:rPr>
              <w:t>列表</w:t>
            </w:r>
          </w:p>
        </w:tc>
        <w:tc>
          <w:tcPr>
            <w:tcW w:type="dxa" w:w="2160"/>
          </w:tcPr>
          <w:p>
            <w:r>
              <w:rPr>
                <w:rFonts w:ascii="Times New Roman" w:hAnsi="Times New Roman" w:eastAsia="宋体"/>
                <w:sz w:val="21"/>
              </w:rPr>
              <w:t>特种设备，已过滤否定句</w:t>
            </w:r>
          </w:p>
        </w:tc>
        <w:tc>
          <w:tcPr>
            <w:tcW w:type="dxa" w:w="2160"/>
          </w:tcPr>
          <w:p>
            <w:r>
              <w:rPr>
                <w:rFonts w:ascii="Times New Roman" w:hAnsi="Times New Roman" w:eastAsia="宋体"/>
                <w:sz w:val="21"/>
              </w:rPr>
              <w:t>合规模型必填</w:t>
            </w:r>
          </w:p>
        </w:tc>
      </w:tr>
      <w:tr>
        <w:tc>
          <w:tcPr>
            <w:tcW w:type="dxa" w:w="2160"/>
          </w:tcPr>
          <w:p>
            <w:r>
              <w:rPr>
                <w:rFonts w:ascii="Times New Roman" w:hAnsi="Times New Roman" w:eastAsia="宋体"/>
                <w:sz w:val="21"/>
              </w:rPr>
              <w:t>city</w:t>
            </w:r>
          </w:p>
        </w:tc>
        <w:tc>
          <w:tcPr>
            <w:tcW w:type="dxa" w:w="2160"/>
          </w:tcPr>
          <w:p>
            <w:r>
              <w:rPr>
                <w:rFonts w:ascii="Times New Roman" w:hAnsi="Times New Roman" w:eastAsia="宋体"/>
                <w:sz w:val="21"/>
              </w:rPr>
              <w:t>字符串</w:t>
            </w:r>
          </w:p>
        </w:tc>
        <w:tc>
          <w:tcPr>
            <w:tcW w:type="dxa" w:w="2160"/>
          </w:tcPr>
          <w:p>
            <w:r>
              <w:rPr>
                <w:rFonts w:ascii="Times New Roman" w:hAnsi="Times New Roman" w:eastAsia="宋体"/>
                <w:sz w:val="21"/>
              </w:rPr>
              <w:t>作业城市</w:t>
            </w:r>
          </w:p>
        </w:tc>
        <w:tc>
          <w:tcPr>
            <w:tcW w:type="dxa" w:w="2160"/>
          </w:tcPr>
          <w:p>
            <w:r>
              <w:rPr>
                <w:rFonts w:ascii="Times New Roman" w:hAnsi="Times New Roman" w:eastAsia="宋体"/>
                <w:sz w:val="21"/>
              </w:rPr>
              <w:t>合规模型建议</w:t>
            </w:r>
          </w:p>
        </w:tc>
      </w:tr>
      <w:tr>
        <w:tc>
          <w:tcPr>
            <w:tcW w:type="dxa" w:w="2160"/>
          </w:tcPr>
          <w:p>
            <w:r>
              <w:rPr>
                <w:rFonts w:ascii="Times New Roman" w:hAnsi="Times New Roman" w:eastAsia="宋体"/>
                <w:sz w:val="21"/>
              </w:rPr>
              <w:t>missing_docs</w:t>
            </w:r>
          </w:p>
        </w:tc>
        <w:tc>
          <w:tcPr>
            <w:tcW w:type="dxa" w:w="2160"/>
          </w:tcPr>
          <w:p>
            <w:r>
              <w:rPr>
                <w:rFonts w:ascii="Times New Roman" w:hAnsi="Times New Roman" w:eastAsia="宋体"/>
                <w:sz w:val="21"/>
              </w:rPr>
              <w:t>列表</w:t>
            </w:r>
          </w:p>
        </w:tc>
        <w:tc>
          <w:tcPr>
            <w:tcW w:type="dxa" w:w="2160"/>
          </w:tcPr>
          <w:p>
            <w:r>
              <w:rPr>
                <w:rFonts w:ascii="Times New Roman" w:hAnsi="Times New Roman" w:eastAsia="宋体"/>
                <w:sz w:val="21"/>
              </w:rPr>
              <w:t>缺件清单</w:t>
            </w:r>
          </w:p>
        </w:tc>
        <w:tc>
          <w:tcPr>
            <w:tcW w:type="dxa" w:w="2160"/>
          </w:tcPr>
          <w:p>
            <w:r>
              <w:rPr>
                <w:rFonts w:ascii="Times New Roman" w:hAnsi="Times New Roman" w:eastAsia="宋体"/>
                <w:sz w:val="21"/>
              </w:rPr>
              <w:t>缺件模型必填</w:t>
            </w:r>
          </w:p>
        </w:tc>
      </w:tr>
      <w:tr>
        <w:tc>
          <w:tcPr>
            <w:tcW w:type="dxa" w:w="2160"/>
          </w:tcPr>
          <w:p>
            <w:r>
              <w:rPr>
                <w:rFonts w:ascii="Times New Roman" w:hAnsi="Times New Roman" w:eastAsia="宋体"/>
                <w:sz w:val="21"/>
              </w:rPr>
              <w:t>parallel_limit</w:t>
            </w:r>
          </w:p>
        </w:tc>
        <w:tc>
          <w:tcPr>
            <w:tcW w:type="dxa" w:w="2160"/>
          </w:tcPr>
          <w:p>
            <w:r>
              <w:rPr>
                <w:rFonts w:ascii="Times New Roman" w:hAnsi="Times New Roman" w:eastAsia="宋体"/>
                <w:sz w:val="21"/>
              </w:rPr>
              <w:t>整数</w:t>
            </w:r>
          </w:p>
        </w:tc>
        <w:tc>
          <w:tcPr>
            <w:tcW w:type="dxa" w:w="2160"/>
          </w:tcPr>
          <w:p>
            <w:r>
              <w:rPr>
                <w:rFonts w:ascii="Times New Roman" w:hAnsi="Times New Roman" w:eastAsia="宋体"/>
                <w:sz w:val="21"/>
              </w:rPr>
              <w:t>部门并行上限</w:t>
            </w:r>
          </w:p>
        </w:tc>
        <w:tc>
          <w:tcPr>
            <w:tcW w:type="dxa" w:w="2160"/>
          </w:tcPr>
          <w:p>
            <w:r>
              <w:rPr>
                <w:rFonts w:ascii="Times New Roman" w:hAnsi="Times New Roman" w:eastAsia="宋体"/>
                <w:sz w:val="21"/>
              </w:rPr>
              <w:t>容量模型必填</w:t>
            </w:r>
          </w:p>
        </w:tc>
      </w:tr>
      <w:tr>
        <w:tc>
          <w:tcPr>
            <w:tcW w:type="dxa" w:w="2160"/>
          </w:tcPr>
          <w:p>
            <w:r>
              <w:rPr>
                <w:rFonts w:ascii="Times New Roman" w:hAnsi="Times New Roman" w:eastAsia="宋体"/>
                <w:sz w:val="21"/>
              </w:rPr>
              <w:t>load</w:t>
            </w:r>
          </w:p>
        </w:tc>
        <w:tc>
          <w:tcPr>
            <w:tcW w:type="dxa" w:w="2160"/>
          </w:tcPr>
          <w:p>
            <w:r>
              <w:rPr>
                <w:rFonts w:ascii="Times New Roman" w:hAnsi="Times New Roman" w:eastAsia="宋体"/>
                <w:sz w:val="21"/>
              </w:rPr>
              <w:t>整数</w:t>
            </w:r>
          </w:p>
        </w:tc>
        <w:tc>
          <w:tcPr>
            <w:tcW w:type="dxa" w:w="2160"/>
          </w:tcPr>
          <w:p>
            <w:r>
              <w:rPr>
                <w:rFonts w:ascii="Times New Roman" w:hAnsi="Times New Roman" w:eastAsia="宋体"/>
                <w:sz w:val="21"/>
              </w:rPr>
              <w:t>当日在办占用</w:t>
            </w:r>
          </w:p>
        </w:tc>
        <w:tc>
          <w:tcPr>
            <w:tcW w:type="dxa" w:w="2160"/>
          </w:tcPr>
          <w:p>
            <w:r>
              <w:rPr>
                <w:rFonts w:ascii="Times New Roman" w:hAnsi="Times New Roman" w:eastAsia="宋体"/>
                <w:sz w:val="21"/>
              </w:rPr>
              <w:t>容量模型必填</w:t>
            </w:r>
          </w:p>
        </w:tc>
      </w:tr>
    </w:tbl>
    <w:p>
      <w:pPr/>
    </w:p>
    <w:p>
      <w:pPr>
        <w:pStyle w:val="4"/>
      </w:pPr>
      <w:r>
        <w:t>标准输出接口</w:t>
      </w:r>
    </w:p>
    <w:p>
      <w:pPr/>
      <w:r>
        <w:t>所有模型返回统一的结构化输出，包含状态、核心结果、路径变化、置信说明和计算依据。</w:t>
      </w:r>
    </w:p>
    <w:p>
      <w:pPr>
        <w:pStyle w:val="a7"/>
      </w:pPr>
      <w:r>
        <w:t>表  标准输出接口表</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字段名</w:t>
            </w:r>
          </w:p>
        </w:tc>
        <w:tc>
          <w:tcPr>
            <w:tcW w:type="dxa" w:w="2880"/>
          </w:tcPr>
          <w:p>
            <w:r>
              <w:rPr>
                <w:rFonts w:ascii="Times New Roman" w:hAnsi="Times New Roman" w:eastAsia="黑体"/>
                <w:b/>
                <w:sz w:val="21"/>
              </w:rPr>
              <w:t>类型</w:t>
            </w:r>
          </w:p>
        </w:tc>
        <w:tc>
          <w:tcPr>
            <w:tcW w:type="dxa" w:w="2880"/>
          </w:tcPr>
          <w:p>
            <w:r>
              <w:rPr>
                <w:rFonts w:ascii="Times New Roman" w:hAnsi="Times New Roman" w:eastAsia="黑体"/>
                <w:b/>
                <w:sz w:val="21"/>
              </w:rPr>
              <w:t>说明</w:t>
            </w:r>
          </w:p>
        </w:tc>
      </w:tr>
      <w:tr>
        <w:tc>
          <w:tcPr>
            <w:tcW w:type="dxa" w:w="2880"/>
          </w:tcPr>
          <w:p>
            <w:r>
              <w:rPr>
                <w:rFonts w:ascii="Times New Roman" w:hAnsi="Times New Roman" w:eastAsia="宋体"/>
                <w:sz w:val="21"/>
              </w:rPr>
              <w:t>status</w:t>
            </w:r>
          </w:p>
        </w:tc>
        <w:tc>
          <w:tcPr>
            <w:tcW w:type="dxa" w:w="2880"/>
          </w:tcPr>
          <w:p>
            <w:r>
              <w:rPr>
                <w:rFonts w:ascii="Times New Roman" w:hAnsi="Times New Roman" w:eastAsia="宋体"/>
                <w:sz w:val="21"/>
              </w:rPr>
              <w:t>字符串</w:t>
            </w:r>
          </w:p>
        </w:tc>
        <w:tc>
          <w:tcPr>
            <w:tcW w:type="dxa" w:w="2880"/>
          </w:tcPr>
          <w:p>
            <w:r>
              <w:rPr>
                <w:rFonts w:ascii="Times New Roman" w:hAnsi="Times New Roman" w:eastAsia="宋体"/>
                <w:sz w:val="21"/>
              </w:rPr>
              <w:t>计算是否成功</w:t>
            </w:r>
          </w:p>
        </w:tc>
      </w:tr>
      <w:tr>
        <w:tc>
          <w:tcPr>
            <w:tcW w:type="dxa" w:w="2880"/>
          </w:tcPr>
          <w:p>
            <w:r>
              <w:rPr>
                <w:rFonts w:ascii="Times New Roman" w:hAnsi="Times New Roman" w:eastAsia="宋体"/>
                <w:sz w:val="21"/>
              </w:rPr>
              <w:t>nodes</w:t>
            </w:r>
          </w:p>
        </w:tc>
        <w:tc>
          <w:tcPr>
            <w:tcW w:type="dxa" w:w="2880"/>
          </w:tcPr>
          <w:p>
            <w:r>
              <w:rPr>
                <w:rFonts w:ascii="Times New Roman" w:hAnsi="Times New Roman" w:eastAsia="宋体"/>
                <w:sz w:val="21"/>
              </w:rPr>
              <w:t>列表</w:t>
            </w:r>
          </w:p>
        </w:tc>
        <w:tc>
          <w:tcPr>
            <w:tcW w:type="dxa" w:w="2880"/>
          </w:tcPr>
          <w:p>
            <w:r>
              <w:rPr>
                <w:rFonts w:ascii="Times New Roman" w:hAnsi="Times New Roman" w:eastAsia="宋体"/>
                <w:sz w:val="21"/>
              </w:rPr>
              <w:t>生成后的节点链</w:t>
            </w:r>
          </w:p>
        </w:tc>
      </w:tr>
      <w:tr>
        <w:tc>
          <w:tcPr>
            <w:tcW w:type="dxa" w:w="2880"/>
          </w:tcPr>
          <w:p>
            <w:r>
              <w:rPr>
                <w:rFonts w:ascii="Times New Roman" w:hAnsi="Times New Roman" w:eastAsia="宋体"/>
                <w:sz w:val="21"/>
              </w:rPr>
              <w:t>high_amount</w:t>
            </w:r>
          </w:p>
        </w:tc>
        <w:tc>
          <w:tcPr>
            <w:tcW w:type="dxa" w:w="2880"/>
          </w:tcPr>
          <w:p>
            <w:r>
              <w:rPr>
                <w:rFonts w:ascii="Times New Roman" w:hAnsi="Times New Roman" w:eastAsia="宋体"/>
                <w:sz w:val="21"/>
              </w:rPr>
              <w:t>布尔</w:t>
            </w:r>
          </w:p>
        </w:tc>
        <w:tc>
          <w:tcPr>
            <w:tcW w:type="dxa" w:w="2880"/>
          </w:tcPr>
          <w:p>
            <w:r>
              <w:rPr>
                <w:rFonts w:ascii="Times New Roman" w:hAnsi="Times New Roman" w:eastAsia="宋体"/>
                <w:sz w:val="21"/>
              </w:rPr>
              <w:t>是否过线</w:t>
            </w:r>
          </w:p>
        </w:tc>
      </w:tr>
      <w:tr>
        <w:tc>
          <w:tcPr>
            <w:tcW w:type="dxa" w:w="2880"/>
          </w:tcPr>
          <w:p>
            <w:r>
              <w:rPr>
                <w:rFonts w:ascii="Times New Roman" w:hAnsi="Times New Roman" w:eastAsia="宋体"/>
                <w:sz w:val="21"/>
              </w:rPr>
              <w:t>blocked</w:t>
            </w:r>
          </w:p>
        </w:tc>
        <w:tc>
          <w:tcPr>
            <w:tcW w:type="dxa" w:w="2880"/>
          </w:tcPr>
          <w:p>
            <w:r>
              <w:rPr>
                <w:rFonts w:ascii="Times New Roman" w:hAnsi="Times New Roman" w:eastAsia="宋体"/>
                <w:sz w:val="21"/>
              </w:rPr>
              <w:t>布尔</w:t>
            </w:r>
          </w:p>
        </w:tc>
        <w:tc>
          <w:tcPr>
            <w:tcW w:type="dxa" w:w="2880"/>
          </w:tcPr>
          <w:p>
            <w:r>
              <w:rPr>
                <w:rFonts w:ascii="Times New Roman" w:hAnsi="Times New Roman" w:eastAsia="宋体"/>
                <w:sz w:val="21"/>
              </w:rPr>
              <w:t>是否因缺件阻断</w:t>
            </w:r>
          </w:p>
        </w:tc>
      </w:tr>
      <w:tr>
        <w:tc>
          <w:tcPr>
            <w:tcW w:type="dxa" w:w="2880"/>
          </w:tcPr>
          <w:p>
            <w:r>
              <w:rPr>
                <w:rFonts w:ascii="Times New Roman" w:hAnsi="Times New Roman" w:eastAsia="宋体"/>
                <w:sz w:val="21"/>
              </w:rPr>
              <w:t>stall_code</w:t>
            </w:r>
          </w:p>
        </w:tc>
        <w:tc>
          <w:tcPr>
            <w:tcW w:type="dxa" w:w="2880"/>
          </w:tcPr>
          <w:p>
            <w:r>
              <w:rPr>
                <w:rFonts w:ascii="Times New Roman" w:hAnsi="Times New Roman" w:eastAsia="宋体"/>
                <w:sz w:val="21"/>
              </w:rPr>
              <w:t>字符串</w:t>
            </w:r>
          </w:p>
        </w:tc>
        <w:tc>
          <w:tcPr>
            <w:tcW w:type="dxa" w:w="2880"/>
          </w:tcPr>
          <w:p>
            <w:r>
              <w:rPr>
                <w:rFonts w:ascii="Times New Roman" w:hAnsi="Times New Roman" w:eastAsia="宋体"/>
                <w:sz w:val="21"/>
              </w:rPr>
              <w:t>缺件 / 过载 / 关键岗位忙碌</w:t>
            </w:r>
          </w:p>
        </w:tc>
      </w:tr>
      <w:tr>
        <w:tc>
          <w:tcPr>
            <w:tcW w:type="dxa" w:w="2880"/>
          </w:tcPr>
          <w:p>
            <w:r>
              <w:rPr>
                <w:rFonts w:ascii="Times New Roman" w:hAnsi="Times New Roman" w:eastAsia="宋体"/>
                <w:sz w:val="21"/>
              </w:rPr>
              <w:t>delay_days</w:t>
            </w:r>
          </w:p>
        </w:tc>
        <w:tc>
          <w:tcPr>
            <w:tcW w:type="dxa" w:w="2880"/>
          </w:tcPr>
          <w:p>
            <w:r>
              <w:rPr>
                <w:rFonts w:ascii="Times New Roman" w:hAnsi="Times New Roman" w:eastAsia="宋体"/>
                <w:sz w:val="21"/>
              </w:rPr>
              <w:t>整数</w:t>
            </w:r>
          </w:p>
        </w:tc>
        <w:tc>
          <w:tcPr>
            <w:tcW w:type="dxa" w:w="2880"/>
          </w:tcPr>
          <w:p>
            <w:r>
              <w:rPr>
                <w:rFonts w:ascii="Times New Roman" w:hAnsi="Times New Roman" w:eastAsia="宋体"/>
                <w:sz w:val="21"/>
              </w:rPr>
              <w:t>额外工作日延迟</w:t>
            </w:r>
          </w:p>
        </w:tc>
      </w:tr>
      <w:tr>
        <w:tc>
          <w:tcPr>
            <w:tcW w:type="dxa" w:w="2880"/>
          </w:tcPr>
          <w:p>
            <w:r>
              <w:rPr>
                <w:rFonts w:ascii="Times New Roman" w:hAnsi="Times New Roman" w:eastAsia="宋体"/>
                <w:sz w:val="21"/>
              </w:rPr>
              <w:t>rationale</w:t>
            </w:r>
          </w:p>
        </w:tc>
        <w:tc>
          <w:tcPr>
            <w:tcW w:type="dxa" w:w="2880"/>
          </w:tcPr>
          <w:p>
            <w:r>
              <w:rPr>
                <w:rFonts w:ascii="Times New Roman" w:hAnsi="Times New Roman" w:eastAsia="宋体"/>
                <w:sz w:val="21"/>
              </w:rPr>
              <w:t>文本</w:t>
            </w:r>
          </w:p>
        </w:tc>
        <w:tc>
          <w:tcPr>
            <w:tcW w:type="dxa" w:w="2880"/>
          </w:tcPr>
          <w:p>
            <w:r>
              <w:rPr>
                <w:rFonts w:ascii="Times New Roman" w:hAnsi="Times New Roman" w:eastAsia="宋体"/>
                <w:sz w:val="21"/>
              </w:rPr>
              <w:t>供调度层解释的依据</w:t>
            </w:r>
          </w:p>
        </w:tc>
      </w:tr>
    </w:tbl>
    <w:p>
      <w:pPr/>
    </w:p>
    <w:p>
      <w:pPr>
        <w:pStyle w:val="4"/>
      </w:pPr>
      <w:r>
        <w:t>API接口规范</w:t>
      </w:r>
    </w:p>
    <w:p>
      <w:pPr/>
      <w:r>
        <w:t>请求方式：由应用服务在内部调用计算内核，对外经应用接口提供申报提交、材料补充、清单与详情。</w:t>
      </w:r>
    </w:p>
    <w:p>
      <w:pPr/>
      <w:r>
        <w:t>交互格式：结构化对象。</w:t>
      </w:r>
    </w:p>
    <w:p>
      <w:pPr/>
      <w:r>
        <w:t>认证方式：按部署环境进行访问控制。</w:t>
      </w:r>
    </w:p>
    <w:p>
      <w:pPr/>
      <w:r>
        <w:t>响应格式：路径、闸门、负荷与报告的组合结果。</w:t>
      </w:r>
    </w:p>
    <w:p>
      <w:pPr>
        <w:pStyle w:val="4"/>
      </w:pPr>
      <w:r>
        <w:t>性能指标</w:t>
      </w:r>
    </w:p>
    <w:p>
      <w:pPr>
        <w:pStyle w:val="a7"/>
      </w:pPr>
      <w:r>
        <w:t>表  传导算法服务性能指标</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指标</w:t>
            </w:r>
          </w:p>
        </w:tc>
        <w:tc>
          <w:tcPr>
            <w:tcW w:type="dxa" w:w="2880"/>
          </w:tcPr>
          <w:p>
            <w:r>
              <w:rPr>
                <w:rFonts w:ascii="Times New Roman" w:hAnsi="Times New Roman" w:eastAsia="黑体"/>
                <w:b/>
                <w:sz w:val="21"/>
              </w:rPr>
              <w:t>目标值</w:t>
            </w:r>
          </w:p>
        </w:tc>
        <w:tc>
          <w:tcPr>
            <w:tcW w:type="dxa" w:w="2880"/>
          </w:tcPr>
          <w:p>
            <w:r>
              <w:rPr>
                <w:rFonts w:ascii="Times New Roman" w:hAnsi="Times New Roman" w:eastAsia="黑体"/>
                <w:b/>
                <w:sz w:val="21"/>
              </w:rPr>
              <w:t>说明</w:t>
            </w:r>
          </w:p>
        </w:tc>
      </w:tr>
      <w:tr>
        <w:tc>
          <w:tcPr>
            <w:tcW w:type="dxa" w:w="2880"/>
          </w:tcPr>
          <w:p>
            <w:r>
              <w:rPr>
                <w:rFonts w:ascii="Times New Roman" w:hAnsi="Times New Roman" w:eastAsia="宋体"/>
                <w:sz w:val="21"/>
              </w:rPr>
              <w:t>单次路径求值</w:t>
            </w:r>
          </w:p>
        </w:tc>
        <w:tc>
          <w:tcPr>
            <w:tcW w:type="dxa" w:w="2880"/>
          </w:tcPr>
          <w:p>
            <w:r>
              <w:rPr>
                <w:rFonts w:ascii="Times New Roman" w:hAnsi="Times New Roman" w:eastAsia="宋体"/>
                <w:sz w:val="21"/>
              </w:rPr>
              <w:t>交互级完成</w:t>
            </w:r>
          </w:p>
        </w:tc>
        <w:tc>
          <w:tcPr>
            <w:tcW w:type="dxa" w:w="2880"/>
          </w:tcPr>
          <w:p>
            <w:r>
              <w:rPr>
                <w:rFonts w:ascii="Times New Roman" w:hAnsi="Times New Roman" w:eastAsia="宋体"/>
                <w:sz w:val="21"/>
              </w:rPr>
              <w:t>不含大模型网络时延</w:t>
            </w:r>
          </w:p>
        </w:tc>
      </w:tr>
      <w:tr>
        <w:tc>
          <w:tcPr>
            <w:tcW w:type="dxa" w:w="2880"/>
          </w:tcPr>
          <w:p>
            <w:r>
              <w:rPr>
                <w:rFonts w:ascii="Times New Roman" w:hAnsi="Times New Roman" w:eastAsia="宋体"/>
                <w:sz w:val="21"/>
              </w:rPr>
              <w:t>制度学习写回容量</w:t>
            </w:r>
          </w:p>
        </w:tc>
        <w:tc>
          <w:tcPr>
            <w:tcW w:type="dxa" w:w="2880"/>
          </w:tcPr>
          <w:p>
            <w:r>
              <w:rPr>
                <w:rFonts w:ascii="Times New Roman" w:hAnsi="Times New Roman" w:eastAsia="宋体"/>
                <w:sz w:val="21"/>
              </w:rPr>
              <w:t>上传后日历可见</w:t>
            </w:r>
          </w:p>
        </w:tc>
        <w:tc>
          <w:tcPr>
            <w:tcW w:type="dxa" w:w="2880"/>
          </w:tcPr>
          <w:p>
            <w:r>
              <w:rPr>
                <w:rFonts w:ascii="Times New Roman" w:hAnsi="Times New Roman" w:eastAsia="宋体"/>
                <w:sz w:val="21"/>
              </w:rPr>
              <w:t>以部门主数据更新为准</w:t>
            </w:r>
          </w:p>
        </w:tc>
      </w:tr>
      <w:tr>
        <w:tc>
          <w:tcPr>
            <w:tcW w:type="dxa" w:w="2880"/>
          </w:tcPr>
          <w:p>
            <w:r>
              <w:rPr>
                <w:rFonts w:ascii="Times New Roman" w:hAnsi="Times New Roman" w:eastAsia="宋体"/>
                <w:sz w:val="21"/>
              </w:rPr>
              <w:t>补件重审</w:t>
            </w:r>
          </w:p>
        </w:tc>
        <w:tc>
          <w:tcPr>
            <w:tcW w:type="dxa" w:w="2880"/>
          </w:tcPr>
          <w:p>
            <w:r>
              <w:rPr>
                <w:rFonts w:ascii="Times New Roman" w:hAnsi="Times New Roman" w:eastAsia="宋体"/>
                <w:sz w:val="21"/>
              </w:rPr>
              <w:t>提交后立即反映停滞变化</w:t>
            </w:r>
          </w:p>
        </w:tc>
        <w:tc>
          <w:tcPr>
            <w:tcW w:type="dxa" w:w="2880"/>
          </w:tcPr>
          <w:p>
            <w:r>
              <w:rPr>
                <w:rFonts w:ascii="Times New Roman" w:hAnsi="Times New Roman" w:eastAsia="宋体"/>
                <w:sz w:val="21"/>
              </w:rPr>
              <w:t>缺件集合重算</w:t>
            </w:r>
          </w:p>
        </w:tc>
      </w:tr>
      <w:tr>
        <w:tc>
          <w:tcPr>
            <w:tcW w:type="dxa" w:w="2880"/>
          </w:tcPr>
          <w:p>
            <w:r>
              <w:rPr>
                <w:rFonts w:ascii="Times New Roman" w:hAnsi="Times New Roman" w:eastAsia="宋体"/>
                <w:sz w:val="21"/>
              </w:rPr>
              <w:t>项目群诊断</w:t>
            </w:r>
          </w:p>
        </w:tc>
        <w:tc>
          <w:tcPr>
            <w:tcW w:type="dxa" w:w="2880"/>
          </w:tcPr>
          <w:p>
            <w:r>
              <w:rPr>
                <w:rFonts w:ascii="Times New Roman" w:hAnsi="Times New Roman" w:eastAsia="宋体"/>
                <w:sz w:val="21"/>
              </w:rPr>
              <w:t>清单一次加载完成</w:t>
            </w:r>
          </w:p>
        </w:tc>
        <w:tc>
          <w:tcPr>
            <w:tcW w:type="dxa" w:w="2880"/>
          </w:tcPr>
          <w:p>
            <w:r>
              <w:rPr>
                <w:rFonts w:ascii="Times New Roman" w:hAnsi="Times New Roman" w:eastAsia="宋体"/>
                <w:sz w:val="21"/>
              </w:rPr>
              <w:t>批量计算负荷与停滞</w:t>
            </w:r>
          </w:p>
        </w:tc>
      </w:tr>
    </w:tbl>
    <w:p>
      <w:pPr/>
    </w:p>
    <w:p>
      <w:pPr>
        <w:pStyle w:val="21"/>
      </w:pPr>
      <w:r>
        <w:t>部署架构与安全</w:t>
      </w:r>
    </w:p>
    <w:p>
      <w:pPr>
        <w:pStyle w:val="31"/>
      </w:pPr>
      <w:r>
        <w:t>部署模式</w:t>
      </w:r>
    </w:p>
    <w:p>
      <w:pPr>
        <w:pStyle w:val="aff0"/>
      </w:pPr>
      <w:r>
        <w:t>整体形态：审批智能体作为独立分析中枢，统一调度子智能体与计算内核，不嵌入外部业务系统内部逻辑；</w:t>
      </w:r>
    </w:p>
    <w:p>
      <w:pPr>
        <w:pStyle w:val="aff0"/>
      </w:pPr>
      <w:r>
        <w:t>计算资源：配置应用、模型和文件存储资源，制度原件与申报原件与计算状态隔离存放；</w:t>
      </w:r>
    </w:p>
    <w:p>
      <w:pPr>
        <w:pStyle w:val="aff0"/>
      </w:pPr>
      <w:r>
        <w:t>双环境部署：演示验证环境用于制度修订和情景演练，业务环境用于正式申报，两环境数据隔离；</w:t>
      </w:r>
    </w:p>
    <w:p>
      <w:pPr>
        <w:pStyle w:val="aff0"/>
      </w:pPr>
      <w:r>
        <w:t>扩展方式：证据Skill、闸门算法和输出界面可分别扩展，适配事项类型与负荷增长。</w:t>
      </w:r>
    </w:p>
    <w:p>
      <w:pPr>
        <w:pStyle w:val="31"/>
      </w:pPr>
      <w:r>
        <w:t>安全要求</w:t>
      </w:r>
    </w:p>
    <w:p>
      <w:pPr>
        <w:pStyle w:val="aff0"/>
      </w:pPr>
      <w:r>
        <w:t>数据安全：制度与申报原件按组织域管理，传输与存储按部署要求保护。</w:t>
      </w:r>
    </w:p>
    <w:p>
      <w:pPr>
        <w:pStyle w:val="aff0"/>
      </w:pPr>
      <w:r>
        <w:t>权限管控：按岗位区分查看清单、提交申报、补充材料和阅读报告的能力。</w:t>
      </w:r>
    </w:p>
    <w:p>
      <w:pPr>
        <w:pStyle w:val="aff0"/>
      </w:pPr>
      <w:r>
        <w:t>操作审计：保留提交、补传、制度学习和闸门结果，保证路径可追溯。</w:t>
      </w:r>
    </w:p>
    <w:p>
      <w:pPr>
        <w:pStyle w:val="aff0"/>
      </w:pPr>
      <w:r>
        <w:t>模型安全：大模型只承担调度与解释，禁止黑盒改写审批状态；算法版本与制度版本可对照。</w:t>
      </w:r>
    </w:p>
    <w:p>
      <w:pPr>
        <w:pStyle w:val="aff0"/>
      </w:pPr>
      <w:r>
        <w:t>访问安全：接口访问鉴权，防止未授权调用。</w:t>
      </w:r>
    </w:p>
    <w:p>
      <w:pPr>
        <w:pStyle w:val="1"/>
      </w:pPr>
      <w:r>
        <w:t>深度分析传导算法</w:t>
      </w:r>
    </w:p>
    <w:p>
      <w:pPr>
        <w:pStyle w:val="21"/>
      </w:pPr>
      <w:r>
        <w:t>传导分析标准范式</w:t>
      </w:r>
    </w:p>
    <w:p>
      <w:pPr>
        <w:pStyle w:val="31"/>
      </w:pPr>
      <w:r>
        <w:t>标准分析链条</w:t>
      </w:r>
    </w:p>
    <w:p>
      <w:pPr/>
      <w:r>
        <w:t>标准分析链条是整个传导分析范式的核心骨架，它规定了外部制度与申报信号如何一步步传导并最终影响审批决策的完整路径。建立统一的标准分析链条，是实现分析规范化和可复用的基础。</w:t>
      </w:r>
    </w:p>
    <w:p>
      <w:pPr/>
      <w:r>
        <w:t>标准分析链条：申报事件→要素信号变化→路径直接影响→合规与容量多阶影响→清单风险结果→审批决策</w:t>
      </w:r>
    </w:p>
    <w:p>
      <w:pPr>
        <w:pStyle w:val="Heading3Style"/>
      </w:pPr>
      <w:r>
        <w:t>（1）申报事件</w:t>
      </w:r>
    </w:p>
    <w:p>
      <w:pPr/>
      <w:r>
        <w:t>这是传导分析的起点，包括立项提交、制度修订、材料补传等所有可能影响审批链的事件。事件可以是单一的，也可以是多个事件的组合。关键是要及时识别其影响范围和严重程度。</w:t>
      </w:r>
    </w:p>
    <w:p>
      <w:pPr>
        <w:pStyle w:val="Heading3Style"/>
      </w:pPr>
      <w:r>
        <w:t>（2）要素信号变化</w:t>
      </w:r>
    </w:p>
    <w:p>
      <w:pPr/>
      <w:r>
        <w:t>申报事件首先会引起可观测的要素变化，如金额、城市、设备、附件和部门并行上限。这些信号是事件的直接表现，也是连接外部制度与内部在办的桥梁。需要区分哪些是本单真实暴露，哪些只是文本中的否定性提及。</w:t>
      </w:r>
    </w:p>
    <w:p>
      <w:pPr>
        <w:pStyle w:val="Heading3Style"/>
      </w:pPr>
      <w:r>
        <w:t>（3）路径直接影响</w:t>
      </w:r>
    </w:p>
    <w:p>
      <w:pPr/>
      <w:r>
        <w:t>要素变化会首先作用于审批链上的直接相关环节。例如，金额过线会直接影响是否增加总经理和董事长；出现无人机会直接插入合规审查。这是传导的第一阶影响，通常比较直接和明显。</w:t>
      </w:r>
    </w:p>
    <w:p>
      <w:pPr>
        <w:pStyle w:val="Heading3Style"/>
      </w:pPr>
      <w:r>
        <w:t>（4）多阶经营指标影响</w:t>
      </w:r>
    </w:p>
    <w:p>
      <w:pPr/>
      <w:r>
        <w:t>直接影响会继续传导，引起合规状态、部门负荷和计划完成日期的变化。例如，缺件导致停滞，饱和导致额外工作日延迟。这是二阶、三阶影响，需要沿路径逐步推演。</w:t>
      </w:r>
    </w:p>
    <w:p>
      <w:pPr>
        <w:pStyle w:val="Heading3Style"/>
      </w:pPr>
      <w:r>
        <w:t>（5）清单和风险结果</w:t>
      </w:r>
    </w:p>
    <w:p>
      <w:pPr/>
      <w:r>
        <w:t>各环节变化最终汇总为项目群清单中的停滞码、延迟天数和负荷等级。这是管理者最关心的结果，也是审批安排的重要依据。</w:t>
      </w:r>
    </w:p>
    <w:p>
      <w:pPr>
        <w:pStyle w:val="Heading3Style"/>
      </w:pPr>
      <w:r>
        <w:t>（6）审批决策</w:t>
      </w:r>
    </w:p>
    <w:p>
      <w:pPr/>
      <w:r>
        <w:t>组织根据清单和方案，决定补传材料、调整部门安排或修订制度口径，这些决策又会反过来影响后续路径和负荷，形成反馈闭环。完整的传导分析不仅要分析申报如何影响路径，还要分析补件和改制度如何改变后续影响。</w:t>
      </w:r>
    </w:p>
    <w:p>
      <w:pPr>
        <w:pStyle w:val="31"/>
      </w:pPr>
      <w:r>
        <w:t>标准事件对象</w:t>
      </w:r>
    </w:p>
    <w:p>
      <w:pPr/>
      <w:r>
        <w:t>在进入模型分析之前，立项书、附件和制度修订等原始信息都应被整理为标准事件对象。标准化对象是后续路径检索、模型调用和结果比较的基础，能够避免对同一申报采用完全不同的描述方式。</w:t>
      </w:r>
    </w:p>
    <w:p>
      <w:pPr>
        <w:pStyle w:val="a7"/>
      </w:pPr>
      <w:r>
        <w:t>表  标准事件对象属性</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事件属性</w:t>
            </w:r>
          </w:p>
        </w:tc>
        <w:tc>
          <w:tcPr>
            <w:tcW w:type="dxa" w:w="2880"/>
          </w:tcPr>
          <w:p>
            <w:r>
              <w:rPr>
                <w:rFonts w:ascii="Times New Roman" w:hAnsi="Times New Roman" w:eastAsia="黑体"/>
                <w:b/>
                <w:sz w:val="21"/>
              </w:rPr>
              <w:t>含义</w:t>
            </w:r>
          </w:p>
        </w:tc>
        <w:tc>
          <w:tcPr>
            <w:tcW w:type="dxa" w:w="2880"/>
          </w:tcPr>
          <w:p>
            <w:r>
              <w:rPr>
                <w:rFonts w:ascii="Times New Roman" w:hAnsi="Times New Roman" w:eastAsia="黑体"/>
                <w:b/>
                <w:sz w:val="21"/>
              </w:rPr>
              <w:t>示例</w:t>
            </w:r>
          </w:p>
        </w:tc>
      </w:tr>
      <w:tr>
        <w:tc>
          <w:tcPr>
            <w:tcW w:type="dxa" w:w="2880"/>
          </w:tcPr>
          <w:p>
            <w:r>
              <w:rPr>
                <w:rFonts w:ascii="Times New Roman" w:hAnsi="Times New Roman" w:eastAsia="宋体"/>
                <w:sz w:val="21"/>
              </w:rPr>
              <w:t>事件类型</w:t>
            </w:r>
          </w:p>
        </w:tc>
        <w:tc>
          <w:tcPr>
            <w:tcW w:type="dxa" w:w="2880"/>
          </w:tcPr>
          <w:p>
            <w:r>
              <w:rPr>
                <w:rFonts w:ascii="Times New Roman" w:hAnsi="Times New Roman" w:eastAsia="宋体"/>
                <w:sz w:val="21"/>
              </w:rPr>
              <w:t>提交 / 制度修订 / 材料补充</w:t>
            </w:r>
          </w:p>
        </w:tc>
        <w:tc>
          <w:tcPr>
            <w:tcW w:type="dxa" w:w="2880"/>
          </w:tcPr>
          <w:p>
            <w:r>
              <w:rPr>
                <w:rFonts w:ascii="Times New Roman" w:hAnsi="Times New Roman" w:eastAsia="宋体"/>
                <w:sz w:val="21"/>
              </w:rPr>
              <w:t>立项提交</w:t>
            </w:r>
          </w:p>
        </w:tc>
      </w:tr>
      <w:tr>
        <w:tc>
          <w:tcPr>
            <w:tcW w:type="dxa" w:w="2880"/>
          </w:tcPr>
          <w:p>
            <w:r>
              <w:rPr>
                <w:rFonts w:ascii="Times New Roman" w:hAnsi="Times New Roman" w:eastAsia="宋体"/>
                <w:sz w:val="21"/>
              </w:rPr>
              <w:t>对象</w:t>
            </w:r>
          </w:p>
        </w:tc>
        <w:tc>
          <w:tcPr>
            <w:tcW w:type="dxa" w:w="2880"/>
          </w:tcPr>
          <w:p>
            <w:r>
              <w:rPr>
                <w:rFonts w:ascii="Times New Roman" w:hAnsi="Times New Roman" w:eastAsia="宋体"/>
                <w:sz w:val="21"/>
              </w:rPr>
              <w:t>事项名称与类别</w:t>
            </w:r>
          </w:p>
        </w:tc>
        <w:tc>
          <w:tcPr>
            <w:tcW w:type="dxa" w:w="2880"/>
          </w:tcPr>
          <w:p>
            <w:r>
              <w:rPr>
                <w:rFonts w:ascii="Times New Roman" w:hAnsi="Times New Roman" w:eastAsia="宋体"/>
                <w:sz w:val="21"/>
              </w:rPr>
              <w:t>城区低空航拍测绘立项</w:t>
            </w:r>
          </w:p>
        </w:tc>
      </w:tr>
      <w:tr>
        <w:tc>
          <w:tcPr>
            <w:tcW w:type="dxa" w:w="2880"/>
          </w:tcPr>
          <w:p>
            <w:r>
              <w:rPr>
                <w:rFonts w:ascii="Times New Roman" w:hAnsi="Times New Roman" w:eastAsia="宋体"/>
                <w:sz w:val="21"/>
              </w:rPr>
              <w:t>金额</w:t>
            </w:r>
          </w:p>
        </w:tc>
        <w:tc>
          <w:tcPr>
            <w:tcW w:type="dxa" w:w="2880"/>
          </w:tcPr>
          <w:p>
            <w:r>
              <w:rPr>
                <w:rFonts w:ascii="Times New Roman" w:hAnsi="Times New Roman" w:eastAsia="宋体"/>
                <w:sz w:val="21"/>
              </w:rPr>
              <w:t>统一为元</w:t>
            </w:r>
          </w:p>
        </w:tc>
        <w:tc>
          <w:tcPr>
            <w:tcW w:type="dxa" w:w="2880"/>
          </w:tcPr>
          <w:p>
            <w:r>
              <w:rPr>
                <w:rFonts w:ascii="Times New Roman" w:hAnsi="Times New Roman" w:eastAsia="宋体"/>
                <w:sz w:val="21"/>
              </w:rPr>
              <w:t>6200000</w:t>
            </w:r>
          </w:p>
        </w:tc>
      </w:tr>
      <w:tr>
        <w:tc>
          <w:tcPr>
            <w:tcW w:type="dxa" w:w="2880"/>
          </w:tcPr>
          <w:p>
            <w:r>
              <w:rPr>
                <w:rFonts w:ascii="Times New Roman" w:hAnsi="Times New Roman" w:eastAsia="宋体"/>
                <w:sz w:val="21"/>
              </w:rPr>
              <w:t>城市</w:t>
            </w:r>
          </w:p>
        </w:tc>
        <w:tc>
          <w:tcPr>
            <w:tcW w:type="dxa" w:w="2880"/>
          </w:tcPr>
          <w:p>
            <w:r>
              <w:rPr>
                <w:rFonts w:ascii="Times New Roman" w:hAnsi="Times New Roman" w:eastAsia="宋体"/>
                <w:sz w:val="21"/>
              </w:rPr>
              <w:t>作业地</w:t>
            </w:r>
          </w:p>
        </w:tc>
        <w:tc>
          <w:tcPr>
            <w:tcW w:type="dxa" w:w="2880"/>
          </w:tcPr>
          <w:p>
            <w:r>
              <w:rPr>
                <w:rFonts w:ascii="Times New Roman" w:hAnsi="Times New Roman" w:eastAsia="宋体"/>
                <w:sz w:val="21"/>
              </w:rPr>
              <w:t>北京</w:t>
            </w:r>
          </w:p>
        </w:tc>
      </w:tr>
      <w:tr>
        <w:tc>
          <w:tcPr>
            <w:tcW w:type="dxa" w:w="2880"/>
          </w:tcPr>
          <w:p>
            <w:r>
              <w:rPr>
                <w:rFonts w:ascii="Times New Roman" w:hAnsi="Times New Roman" w:eastAsia="宋体"/>
                <w:sz w:val="21"/>
              </w:rPr>
              <w:t>核心区标记</w:t>
            </w:r>
          </w:p>
        </w:tc>
        <w:tc>
          <w:tcPr>
            <w:tcW w:type="dxa" w:w="2880"/>
          </w:tcPr>
          <w:p>
            <w:r>
              <w:rPr>
                <w:rFonts w:ascii="Times New Roman" w:hAnsi="Times New Roman" w:eastAsia="宋体"/>
                <w:sz w:val="21"/>
              </w:rPr>
              <w:t>是否一环/中心城区</w:t>
            </w:r>
          </w:p>
        </w:tc>
        <w:tc>
          <w:tcPr>
            <w:tcW w:type="dxa" w:w="2880"/>
          </w:tcPr>
          <w:p>
            <w:r>
              <w:rPr>
                <w:rFonts w:ascii="Times New Roman" w:hAnsi="Times New Roman" w:eastAsia="宋体"/>
                <w:sz w:val="21"/>
              </w:rPr>
              <w:t>是</w:t>
            </w:r>
          </w:p>
        </w:tc>
      </w:tr>
      <w:tr>
        <w:tc>
          <w:tcPr>
            <w:tcW w:type="dxa" w:w="2880"/>
          </w:tcPr>
          <w:p>
            <w:r>
              <w:rPr>
                <w:rFonts w:ascii="Times New Roman" w:hAnsi="Times New Roman" w:eastAsia="宋体"/>
                <w:sz w:val="21"/>
              </w:rPr>
              <w:t>设备</w:t>
            </w:r>
          </w:p>
        </w:tc>
        <w:tc>
          <w:tcPr>
            <w:tcW w:type="dxa" w:w="2880"/>
          </w:tcPr>
          <w:p>
            <w:r>
              <w:rPr>
                <w:rFonts w:ascii="Times New Roman" w:hAnsi="Times New Roman" w:eastAsia="宋体"/>
                <w:sz w:val="21"/>
              </w:rPr>
              <w:t>特种设备列表</w:t>
            </w:r>
          </w:p>
        </w:tc>
        <w:tc>
          <w:tcPr>
            <w:tcW w:type="dxa" w:w="2880"/>
          </w:tcPr>
          <w:p>
            <w:r>
              <w:rPr>
                <w:rFonts w:ascii="Times New Roman" w:hAnsi="Times New Roman" w:eastAsia="宋体"/>
                <w:sz w:val="21"/>
              </w:rPr>
              <w:t>无人机</w:t>
            </w:r>
          </w:p>
        </w:tc>
      </w:tr>
      <w:tr>
        <w:tc>
          <w:tcPr>
            <w:tcW w:type="dxa" w:w="2880"/>
          </w:tcPr>
          <w:p>
            <w:r>
              <w:rPr>
                <w:rFonts w:ascii="Times New Roman" w:hAnsi="Times New Roman" w:eastAsia="宋体"/>
                <w:sz w:val="21"/>
              </w:rPr>
              <w:t>报备状态</w:t>
            </w:r>
          </w:p>
        </w:tc>
        <w:tc>
          <w:tcPr>
            <w:tcW w:type="dxa" w:w="2880"/>
          </w:tcPr>
          <w:p>
            <w:r>
              <w:rPr>
                <w:rFonts w:ascii="Times New Roman" w:hAnsi="Times New Roman" w:eastAsia="宋体"/>
                <w:sz w:val="21"/>
              </w:rPr>
              <w:t>是否已附关键材料</w:t>
            </w:r>
          </w:p>
        </w:tc>
        <w:tc>
          <w:tcPr>
            <w:tcW w:type="dxa" w:w="2880"/>
          </w:tcPr>
          <w:p>
            <w:r>
              <w:rPr>
                <w:rFonts w:ascii="Times New Roman" w:hAnsi="Times New Roman" w:eastAsia="宋体"/>
                <w:sz w:val="21"/>
              </w:rPr>
              <w:t>未附</w:t>
            </w:r>
          </w:p>
        </w:tc>
      </w:tr>
      <w:tr>
        <w:tc>
          <w:tcPr>
            <w:tcW w:type="dxa" w:w="2880"/>
          </w:tcPr>
          <w:p>
            <w:r>
              <w:rPr>
                <w:rFonts w:ascii="Times New Roman" w:hAnsi="Times New Roman" w:eastAsia="宋体"/>
                <w:sz w:val="21"/>
              </w:rPr>
              <w:t>部门</w:t>
            </w:r>
          </w:p>
        </w:tc>
        <w:tc>
          <w:tcPr>
            <w:tcW w:type="dxa" w:w="2880"/>
          </w:tcPr>
          <w:p>
            <w:r>
              <w:rPr>
                <w:rFonts w:ascii="Times New Roman" w:hAnsi="Times New Roman" w:eastAsia="宋体"/>
                <w:sz w:val="21"/>
              </w:rPr>
              <w:t>承办部门</w:t>
            </w:r>
          </w:p>
        </w:tc>
        <w:tc>
          <w:tcPr>
            <w:tcW w:type="dxa" w:w="2880"/>
          </w:tcPr>
          <w:p>
            <w:r>
              <w:rPr>
                <w:rFonts w:ascii="Times New Roman" w:hAnsi="Times New Roman" w:eastAsia="宋体"/>
                <w:sz w:val="21"/>
              </w:rPr>
              <w:t>研发部</w:t>
            </w:r>
          </w:p>
        </w:tc>
      </w:tr>
      <w:tr>
        <w:tc>
          <w:tcPr>
            <w:tcW w:type="dxa" w:w="2880"/>
          </w:tcPr>
          <w:p>
            <w:r>
              <w:rPr>
                <w:rFonts w:ascii="Times New Roman" w:hAnsi="Times New Roman" w:eastAsia="宋体"/>
                <w:sz w:val="21"/>
              </w:rPr>
              <w:t>可信度</w:t>
            </w:r>
          </w:p>
        </w:tc>
        <w:tc>
          <w:tcPr>
            <w:tcW w:type="dxa" w:w="2880"/>
          </w:tcPr>
          <w:p>
            <w:r>
              <w:rPr>
                <w:rFonts w:ascii="Times New Roman" w:hAnsi="Times New Roman" w:eastAsia="宋体"/>
                <w:sz w:val="21"/>
              </w:rPr>
              <w:t>抽取与规则回退说明</w:t>
            </w:r>
          </w:p>
        </w:tc>
        <w:tc>
          <w:tcPr>
            <w:tcW w:type="dxa" w:w="2880"/>
          </w:tcPr>
          <w:p>
            <w:r>
              <w:rPr>
                <w:rFonts w:ascii="Times New Roman" w:hAnsi="Times New Roman" w:eastAsia="宋体"/>
                <w:sz w:val="21"/>
              </w:rPr>
              <w:t>模型抽取+规则校验</w:t>
            </w:r>
          </w:p>
        </w:tc>
      </w:tr>
    </w:tbl>
    <w:p>
      <w:pPr/>
    </w:p>
    <w:p>
      <w:pPr>
        <w:pStyle w:val="31"/>
      </w:pPr>
      <w:r>
        <w:t>标准分析流程</w:t>
      </w:r>
    </w:p>
    <w:p>
      <w:pPr/>
      <w:r>
        <w:t>标准分析流程规定了从信号发现到结果输出的完整步骤，确保分析过程的规范性和一致性。整个流程分为八个步骤，每个步骤都有明确的输入输出和质量要求。</w:t>
      </w:r>
    </w:p>
    <w:p>
      <w:pPr>
        <w:pStyle w:val="Heading3Style"/>
      </w:pPr>
      <w:r>
        <w:t>（1）信号发现</w:t>
      </w:r>
    </w:p>
    <w:p>
      <w:pPr/>
      <w:r>
        <w:t>通过提交、制度上传和补传识别值得分析的变化。这是分析的起点，当出现新的申报或并行条款变化时，触发分析流程。</w:t>
      </w:r>
    </w:p>
    <w:p>
      <w:pPr>
        <w:pStyle w:val="Heading3Style"/>
      </w:pPr>
      <w:r>
        <w:t>（2）事件结构化</w:t>
      </w:r>
    </w:p>
    <w:p>
      <w:pPr/>
      <w:r>
        <w:t>识别类型、对象、金额、城市、设备、报备和可信度，将原始材料转换为标准事件对象。</w:t>
      </w:r>
    </w:p>
    <w:p>
      <w:pPr>
        <w:pStyle w:val="Heading3Style"/>
      </w:pPr>
      <w:r>
        <w:t>（3）节点定位</w:t>
      </w:r>
    </w:p>
    <w:p>
      <w:pPr/>
      <w:r>
        <w:t>根据事项类别确定最先受到影响的审批环节。金额事件首先影响权限链，设备事件首先影响合规链，制度并行条款首先影响容量链。</w:t>
      </w:r>
    </w:p>
    <w:p>
      <w:pPr>
        <w:pStyle w:val="Heading3Style"/>
      </w:pPr>
      <w:r>
        <w:t>（4）路径生成</w:t>
      </w:r>
    </w:p>
    <w:p>
      <w:pPr/>
      <w:r>
        <w:t>形成主路径、条件性路径和合规风险路径。例如低额无设备走短链，高额含无人机走长链并插入合规。</w:t>
      </w:r>
    </w:p>
    <w:p>
      <w:pPr>
        <w:pStyle w:val="Heading3Style"/>
      </w:pPr>
      <w:r>
        <w:t>（5）量化测算</w:t>
      </w:r>
    </w:p>
    <w:p>
      <w:pPr/>
      <w:r>
        <w:t>估计是否过线、是否阻断、负荷占用、时滞和依据强度。</w:t>
      </w:r>
    </w:p>
    <w:p>
      <w:pPr>
        <w:pStyle w:val="Heading3Style"/>
      </w:pPr>
      <w:r>
        <w:t>（6）情景修正</w:t>
      </w:r>
    </w:p>
    <w:p>
      <w:pPr/>
      <w:r>
        <w:t>加入制度未写明门槛时的业务示例、否定句过滤、核心城区加严等条件。</w:t>
      </w:r>
    </w:p>
    <w:p>
      <w:pPr>
        <w:pStyle w:val="Heading3Style"/>
      </w:pPr>
      <w:r>
        <w:t>（7）结果校验</w:t>
      </w:r>
    </w:p>
    <w:p>
      <w:pPr/>
      <w:r>
        <w:t>检查“不涉及无人机”不得入设备列表，“未附报备”不得视为已报备，日历必须计入按单生成的路径。</w:t>
      </w:r>
    </w:p>
    <w:p>
      <w:pPr>
        <w:pStyle w:val="Heading3Style"/>
      </w:pPr>
      <w:r>
        <w:t>（8）标准输出</w:t>
      </w:r>
    </w:p>
    <w:p>
      <w:pPr/>
      <w:r>
        <w:t>形成路径说明、缺件清单、负荷结果、可信度和补件建议。</w:t>
      </w:r>
    </w:p>
    <w:p>
      <w:pPr>
        <w:pStyle w:val="21"/>
      </w:pPr>
      <w:r>
        <w:t>金额权限传导模型</w:t>
      </w:r>
    </w:p>
    <w:p>
      <w:pPr>
        <w:pStyle w:val="31"/>
      </w:pPr>
      <w:r>
        <w:t>模型概述</w:t>
      </w:r>
    </w:p>
    <w:p>
      <w:pPr/>
      <w:r>
        <w:t>金额权限传导模型用于刻画申报金额如何影响审批层级。当制度片段写明立项或投资门槛时，以制度门槛为准；当制度未写明时，采用业务示例口径：金额达到或超过五百万元，增加总经理审批和董事长审定。该示例必须在生成方案中声明，避免把演示口径误当作已颁布条款。</w:t>
      </w:r>
    </w:p>
    <w:p>
      <w:pPr>
        <w:pStyle w:val="a7"/>
      </w:pPr>
      <w:r>
        <w:t>表  金额权限传导模型输入参数</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输入参数</w:t>
            </w:r>
          </w:p>
        </w:tc>
        <w:tc>
          <w:tcPr>
            <w:tcW w:type="dxa" w:w="2880"/>
          </w:tcPr>
          <w:p>
            <w:r>
              <w:rPr>
                <w:rFonts w:ascii="Times New Roman" w:hAnsi="Times New Roman" w:eastAsia="黑体"/>
                <w:b/>
                <w:sz w:val="21"/>
              </w:rPr>
              <w:t>说明</w:t>
            </w:r>
          </w:p>
        </w:tc>
        <w:tc>
          <w:tcPr>
            <w:tcW w:type="dxa" w:w="2880"/>
          </w:tcPr>
          <w:p>
            <w:r>
              <w:rPr>
                <w:rFonts w:ascii="Times New Roman" w:hAnsi="Times New Roman" w:eastAsia="黑体"/>
                <w:b/>
                <w:sz w:val="21"/>
              </w:rPr>
              <w:t>示例</w:t>
            </w:r>
          </w:p>
        </w:tc>
      </w:tr>
      <w:tr>
        <w:tc>
          <w:tcPr>
            <w:tcW w:type="dxa" w:w="2880"/>
          </w:tcPr>
          <w:p>
            <w:r>
              <w:rPr>
                <w:rFonts w:ascii="Times New Roman" w:hAnsi="Times New Roman" w:eastAsia="宋体"/>
                <w:sz w:val="21"/>
              </w:rPr>
              <w:t>申报金额</w:t>
            </w:r>
          </w:p>
        </w:tc>
        <w:tc>
          <w:tcPr>
            <w:tcW w:type="dxa" w:w="2880"/>
          </w:tcPr>
          <w:p>
            <w:r>
              <w:rPr>
                <w:rFonts w:ascii="Times New Roman" w:hAnsi="Times New Roman" w:eastAsia="宋体"/>
                <w:sz w:val="21"/>
              </w:rPr>
              <w:t>统一为元</w:t>
            </w:r>
          </w:p>
        </w:tc>
        <w:tc>
          <w:tcPr>
            <w:tcW w:type="dxa" w:w="2880"/>
          </w:tcPr>
          <w:p>
            <w:r>
              <w:rPr>
                <w:rFonts w:ascii="Times New Roman" w:hAnsi="Times New Roman" w:eastAsia="宋体"/>
                <w:sz w:val="21"/>
              </w:rPr>
              <w:t>6200000</w:t>
            </w:r>
          </w:p>
        </w:tc>
      </w:tr>
      <w:tr>
        <w:tc>
          <w:tcPr>
            <w:tcW w:type="dxa" w:w="2880"/>
          </w:tcPr>
          <w:p>
            <w:r>
              <w:rPr>
                <w:rFonts w:ascii="Times New Roman" w:hAnsi="Times New Roman" w:eastAsia="宋体"/>
                <w:sz w:val="21"/>
              </w:rPr>
              <w:t>制度门槛</w:t>
            </w:r>
          </w:p>
        </w:tc>
        <w:tc>
          <w:tcPr>
            <w:tcW w:type="dxa" w:w="2880"/>
          </w:tcPr>
          <w:p>
            <w:r>
              <w:rPr>
                <w:rFonts w:ascii="Times New Roman" w:hAnsi="Times New Roman" w:eastAsia="宋体"/>
                <w:sz w:val="21"/>
              </w:rPr>
              <w:t>从立项相关条款抽取</w:t>
            </w:r>
          </w:p>
        </w:tc>
        <w:tc>
          <w:tcPr>
            <w:tcW w:type="dxa" w:w="2880"/>
          </w:tcPr>
          <w:p>
            <w:r>
              <w:rPr>
                <w:rFonts w:ascii="Times New Roman" w:hAnsi="Times New Roman" w:eastAsia="宋体"/>
                <w:sz w:val="21"/>
              </w:rPr>
              <w:t>未写明</w:t>
            </w:r>
          </w:p>
        </w:tc>
      </w:tr>
      <w:tr>
        <w:tc>
          <w:tcPr>
            <w:tcW w:type="dxa" w:w="2880"/>
          </w:tcPr>
          <w:p>
            <w:r>
              <w:rPr>
                <w:rFonts w:ascii="Times New Roman" w:hAnsi="Times New Roman" w:eastAsia="宋体"/>
                <w:sz w:val="21"/>
              </w:rPr>
              <w:t>示例门槛</w:t>
            </w:r>
          </w:p>
        </w:tc>
        <w:tc>
          <w:tcPr>
            <w:tcW w:type="dxa" w:w="2880"/>
          </w:tcPr>
          <w:p>
            <w:r>
              <w:rPr>
                <w:rFonts w:ascii="Times New Roman" w:hAnsi="Times New Roman" w:eastAsia="宋体"/>
                <w:sz w:val="21"/>
              </w:rPr>
              <w:t>制度缺失时的业务口径</w:t>
            </w:r>
          </w:p>
        </w:tc>
        <w:tc>
          <w:tcPr>
            <w:tcW w:type="dxa" w:w="2880"/>
          </w:tcPr>
          <w:p>
            <w:r>
              <w:rPr>
                <w:rFonts w:ascii="Times New Roman" w:hAnsi="Times New Roman" w:eastAsia="宋体"/>
                <w:sz w:val="21"/>
              </w:rPr>
              <w:t>5000000</w:t>
            </w:r>
          </w:p>
        </w:tc>
      </w:tr>
      <w:tr>
        <w:tc>
          <w:tcPr>
            <w:tcW w:type="dxa" w:w="2880"/>
          </w:tcPr>
          <w:p>
            <w:r>
              <w:rPr>
                <w:rFonts w:ascii="Times New Roman" w:hAnsi="Times New Roman" w:eastAsia="宋体"/>
                <w:sz w:val="21"/>
              </w:rPr>
              <w:t>事项类别</w:t>
            </w:r>
          </w:p>
        </w:tc>
        <w:tc>
          <w:tcPr>
            <w:tcW w:type="dxa" w:w="2880"/>
          </w:tcPr>
          <w:p>
            <w:r>
              <w:rPr>
                <w:rFonts w:ascii="Times New Roman" w:hAnsi="Times New Roman" w:eastAsia="宋体"/>
                <w:sz w:val="21"/>
              </w:rPr>
              <w:t>是否按立项链生成</w:t>
            </w:r>
          </w:p>
        </w:tc>
        <w:tc>
          <w:tcPr>
            <w:tcW w:type="dxa" w:w="2880"/>
          </w:tcPr>
          <w:p>
            <w:r>
              <w:rPr>
                <w:rFonts w:ascii="Times New Roman" w:hAnsi="Times New Roman" w:eastAsia="宋体"/>
                <w:sz w:val="21"/>
              </w:rPr>
              <w:t>立项</w:t>
            </w:r>
          </w:p>
        </w:tc>
      </w:tr>
      <w:tr>
        <w:tc>
          <w:tcPr>
            <w:tcW w:type="dxa" w:w="2880"/>
          </w:tcPr>
          <w:p>
            <w:r>
              <w:rPr>
                <w:rFonts w:ascii="Times New Roman" w:hAnsi="Times New Roman" w:eastAsia="宋体"/>
                <w:sz w:val="21"/>
              </w:rPr>
              <w:t>已有底稿</w:t>
            </w:r>
          </w:p>
        </w:tc>
        <w:tc>
          <w:tcPr>
            <w:tcW w:type="dxa" w:w="2880"/>
          </w:tcPr>
          <w:p>
            <w:r>
              <w:rPr>
                <w:rFonts w:ascii="Times New Roman" w:hAnsi="Times New Roman" w:eastAsia="宋体"/>
                <w:sz w:val="21"/>
              </w:rPr>
              <w:t>日常事项是否套用职能底稿</w:t>
            </w:r>
          </w:p>
        </w:tc>
        <w:tc>
          <w:tcPr>
            <w:tcW w:type="dxa" w:w="2880"/>
          </w:tcPr>
          <w:p>
            <w:r>
              <w:rPr>
                <w:rFonts w:ascii="Times New Roman" w:hAnsi="Times New Roman" w:eastAsia="宋体"/>
                <w:sz w:val="21"/>
              </w:rPr>
              <w:t>立项不套用四类底稿</w:t>
            </w:r>
          </w:p>
        </w:tc>
      </w:tr>
    </w:tbl>
    <w:p>
      <w:pPr/>
    </w:p>
    <w:p>
      <w:pPr>
        <w:pStyle w:val="31"/>
      </w:pPr>
      <w:r>
        <w:t>核心计算逻辑</w:t>
      </w:r>
    </w:p>
    <w:p>
      <w:pPr>
        <w:pStyle w:val="4"/>
      </w:pPr>
      <w:r>
        <w:t>门槛比较</w:t>
      </w:r>
    </w:p>
    <w:p>
      <w:pPr/>
      <w:r>
        <w:t>若申报金额达到或超过有效门槛，则在部门经理之后插入总经理、董事长，再进入备案；否则部门经理审核后即可备案。</w:t>
      </w:r>
    </w:p>
    <w:p>
      <w:pPr>
        <w:pStyle w:val="4"/>
      </w:pPr>
      <w:r>
        <w:t>制度优先</w:t>
      </w:r>
    </w:p>
    <w:p>
      <w:pPr/>
      <w:r>
        <w:t>若制度片段给出可用门槛，则覆盖示例门槛，并在说明中标注“按制度金额门槛”。</w:t>
      </w:r>
    </w:p>
    <w:p>
      <w:pPr>
        <w:pStyle w:val="4"/>
      </w:pPr>
      <w:r>
        <w:t>短链与长链</w:t>
      </w:r>
    </w:p>
    <w:p>
      <w:pPr/>
      <w:r>
        <w:t>低额立项形成短链，高额立项形成长链。两者必须在清单中可被并排观察，以证明路径按单生成而不是套用同一模板。</w:t>
      </w:r>
    </w:p>
    <w:p>
      <w:pPr>
        <w:pStyle w:val="4"/>
      </w:pPr>
      <w:r>
        <w:t>日常事项底稿</w:t>
      </w:r>
    </w:p>
    <w:p>
      <w:pPr/>
      <w:r>
        <w:t>报销、采购、合同、请假可以制度库职能底稿为起点，再按本单金额做有限扩展，避免把日常事项和立项生成混为一谈。</w:t>
      </w:r>
    </w:p>
    <w:p>
      <w:pPr>
        <w:pStyle w:val="a7"/>
      </w:pPr>
      <w:r>
        <w:t>表  金额权限传导模型输出结果</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输出结果</w:t>
            </w:r>
          </w:p>
        </w:tc>
        <w:tc>
          <w:tcPr>
            <w:tcW w:type="dxa" w:w="2880"/>
          </w:tcPr>
          <w:p>
            <w:r>
              <w:rPr>
                <w:rFonts w:ascii="Times New Roman" w:hAnsi="Times New Roman" w:eastAsia="黑体"/>
                <w:b/>
                <w:sz w:val="21"/>
              </w:rPr>
              <w:t>说明</w:t>
            </w:r>
          </w:p>
        </w:tc>
        <w:tc>
          <w:tcPr>
            <w:tcW w:type="dxa" w:w="2880"/>
          </w:tcPr>
          <w:p>
            <w:r>
              <w:rPr>
                <w:rFonts w:ascii="Times New Roman" w:hAnsi="Times New Roman" w:eastAsia="黑体"/>
                <w:b/>
                <w:sz w:val="21"/>
              </w:rPr>
              <w:t>单位</w:t>
            </w:r>
          </w:p>
        </w:tc>
      </w:tr>
      <w:tr>
        <w:tc>
          <w:tcPr>
            <w:tcW w:type="dxa" w:w="2880"/>
          </w:tcPr>
          <w:p>
            <w:r>
              <w:rPr>
                <w:rFonts w:ascii="Times New Roman" w:hAnsi="Times New Roman" w:eastAsia="宋体"/>
                <w:sz w:val="21"/>
              </w:rPr>
              <w:t>是否过线</w:t>
            </w:r>
          </w:p>
        </w:tc>
        <w:tc>
          <w:tcPr>
            <w:tcW w:type="dxa" w:w="2880"/>
          </w:tcPr>
          <w:p>
            <w:r>
              <w:rPr>
                <w:rFonts w:ascii="Times New Roman" w:hAnsi="Times New Roman" w:eastAsia="宋体"/>
                <w:sz w:val="21"/>
              </w:rPr>
              <w:t>金额是否达到有效门槛</w:t>
            </w:r>
          </w:p>
        </w:tc>
        <w:tc>
          <w:tcPr>
            <w:tcW w:type="dxa" w:w="2880"/>
          </w:tcPr>
          <w:p>
            <w:r>
              <w:rPr>
                <w:rFonts w:ascii="Times New Roman" w:hAnsi="Times New Roman" w:eastAsia="宋体"/>
                <w:sz w:val="21"/>
              </w:rPr>
              <w:t>是/否</w:t>
            </w:r>
          </w:p>
        </w:tc>
      </w:tr>
      <w:tr>
        <w:tc>
          <w:tcPr>
            <w:tcW w:type="dxa" w:w="2880"/>
          </w:tcPr>
          <w:p>
            <w:r>
              <w:rPr>
                <w:rFonts w:ascii="Times New Roman" w:hAnsi="Times New Roman" w:eastAsia="宋体"/>
                <w:sz w:val="21"/>
              </w:rPr>
              <w:t>有效门槛</w:t>
            </w:r>
          </w:p>
        </w:tc>
        <w:tc>
          <w:tcPr>
            <w:tcW w:type="dxa" w:w="2880"/>
          </w:tcPr>
          <w:p>
            <w:r>
              <w:rPr>
                <w:rFonts w:ascii="Times New Roman" w:hAnsi="Times New Roman" w:eastAsia="宋体"/>
                <w:sz w:val="21"/>
              </w:rPr>
              <w:t>制度门槛或示例门槛</w:t>
            </w:r>
          </w:p>
        </w:tc>
        <w:tc>
          <w:tcPr>
            <w:tcW w:type="dxa" w:w="2880"/>
          </w:tcPr>
          <w:p>
            <w:r>
              <w:rPr>
                <w:rFonts w:ascii="Times New Roman" w:hAnsi="Times New Roman" w:eastAsia="宋体"/>
                <w:sz w:val="21"/>
              </w:rPr>
              <w:t>元</w:t>
            </w:r>
          </w:p>
        </w:tc>
      </w:tr>
      <w:tr>
        <w:tc>
          <w:tcPr>
            <w:tcW w:type="dxa" w:w="2880"/>
          </w:tcPr>
          <w:p>
            <w:r>
              <w:rPr>
                <w:rFonts w:ascii="Times New Roman" w:hAnsi="Times New Roman" w:eastAsia="宋体"/>
                <w:sz w:val="21"/>
              </w:rPr>
              <w:t>节点链</w:t>
            </w:r>
          </w:p>
        </w:tc>
        <w:tc>
          <w:tcPr>
            <w:tcW w:type="dxa" w:w="2880"/>
          </w:tcPr>
          <w:p>
            <w:r>
              <w:rPr>
                <w:rFonts w:ascii="Times New Roman" w:hAnsi="Times New Roman" w:eastAsia="宋体"/>
                <w:sz w:val="21"/>
              </w:rPr>
              <w:t>生成后的审批顺序</w:t>
            </w:r>
          </w:p>
        </w:tc>
        <w:tc>
          <w:tcPr>
            <w:tcW w:type="dxa" w:w="2880"/>
          </w:tcPr>
          <w:p>
            <w:r>
              <w:rPr>
                <w:rFonts w:ascii="Times New Roman" w:hAnsi="Times New Roman" w:eastAsia="宋体"/>
                <w:sz w:val="21"/>
              </w:rPr>
              <w:t>节点序列</w:t>
            </w:r>
          </w:p>
        </w:tc>
      </w:tr>
      <w:tr>
        <w:tc>
          <w:tcPr>
            <w:tcW w:type="dxa" w:w="2880"/>
          </w:tcPr>
          <w:p>
            <w:r>
              <w:rPr>
                <w:rFonts w:ascii="Times New Roman" w:hAnsi="Times New Roman" w:eastAsia="宋体"/>
                <w:sz w:val="21"/>
              </w:rPr>
              <w:t>依据说明</w:t>
            </w:r>
          </w:p>
        </w:tc>
        <w:tc>
          <w:tcPr>
            <w:tcW w:type="dxa" w:w="2880"/>
          </w:tcPr>
          <w:p>
            <w:r>
              <w:rPr>
                <w:rFonts w:ascii="Times New Roman" w:hAnsi="Times New Roman" w:eastAsia="宋体"/>
                <w:sz w:val="21"/>
              </w:rPr>
              <w:t>制度或业务示例</w:t>
            </w:r>
          </w:p>
        </w:tc>
        <w:tc>
          <w:tcPr>
            <w:tcW w:type="dxa" w:w="2880"/>
          </w:tcPr>
          <w:p>
            <w:r>
              <w:rPr>
                <w:rFonts w:ascii="Times New Roman" w:hAnsi="Times New Roman" w:eastAsia="宋体"/>
                <w:sz w:val="21"/>
              </w:rPr>
              <w:t>文本</w:t>
            </w:r>
          </w:p>
        </w:tc>
      </w:tr>
    </w:tbl>
    <w:p>
      <w:pPr/>
    </w:p>
    <w:p>
      <w:pPr>
        <w:pStyle w:val="21"/>
      </w:pPr>
      <w:r>
        <w:t>特种作业合规闸门模型</w:t>
      </w:r>
    </w:p>
    <w:p>
      <w:pPr>
        <w:pStyle w:val="31"/>
      </w:pPr>
      <w:r>
        <w:t>模型概述</w:t>
      </w:r>
    </w:p>
    <w:p>
      <w:pPr/>
      <w:r>
        <w:t>特种作业合规闸门模型用于刻画设备与作业地如何影响路径和阻断。当申报涉及无人机等特种设备时，在备案前插入合规与空域审查；若作业地位于限制更严的区域且未附飞行活动申请、空域批准等报备材料，则流程卡住。模型必须处理否定句，避免把“不涉及无人机”误判为需要审查。</w:t>
      </w:r>
    </w:p>
    <w:p>
      <w:pPr>
        <w:pStyle w:val="a7"/>
      </w:pPr>
      <w:r>
        <w:t>表  特种作业合规闸门模型输入参数</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输入参数</w:t>
            </w:r>
          </w:p>
        </w:tc>
        <w:tc>
          <w:tcPr>
            <w:tcW w:type="dxa" w:w="2880"/>
          </w:tcPr>
          <w:p>
            <w:r>
              <w:rPr>
                <w:rFonts w:ascii="Times New Roman" w:hAnsi="Times New Roman" w:eastAsia="黑体"/>
                <w:b/>
                <w:sz w:val="21"/>
              </w:rPr>
              <w:t>说明</w:t>
            </w:r>
          </w:p>
        </w:tc>
        <w:tc>
          <w:tcPr>
            <w:tcW w:type="dxa" w:w="2880"/>
          </w:tcPr>
          <w:p>
            <w:r>
              <w:rPr>
                <w:rFonts w:ascii="Times New Roman" w:hAnsi="Times New Roman" w:eastAsia="黑体"/>
                <w:b/>
                <w:sz w:val="21"/>
              </w:rPr>
              <w:t>示例</w:t>
            </w:r>
          </w:p>
        </w:tc>
      </w:tr>
      <w:tr>
        <w:tc>
          <w:tcPr>
            <w:tcW w:type="dxa" w:w="2880"/>
          </w:tcPr>
          <w:p>
            <w:r>
              <w:rPr>
                <w:rFonts w:ascii="Times New Roman" w:hAnsi="Times New Roman" w:eastAsia="宋体"/>
                <w:sz w:val="21"/>
              </w:rPr>
              <w:t>设备列表</w:t>
            </w:r>
          </w:p>
        </w:tc>
        <w:tc>
          <w:tcPr>
            <w:tcW w:type="dxa" w:w="2880"/>
          </w:tcPr>
          <w:p>
            <w:r>
              <w:rPr>
                <w:rFonts w:ascii="Times New Roman" w:hAnsi="Times New Roman" w:eastAsia="宋体"/>
                <w:sz w:val="21"/>
              </w:rPr>
              <w:t>已过滤否定句</w:t>
            </w:r>
          </w:p>
        </w:tc>
        <w:tc>
          <w:tcPr>
            <w:tcW w:type="dxa" w:w="2880"/>
          </w:tcPr>
          <w:p>
            <w:r>
              <w:rPr>
                <w:rFonts w:ascii="Times New Roman" w:hAnsi="Times New Roman" w:eastAsia="宋体"/>
                <w:sz w:val="21"/>
              </w:rPr>
              <w:t>无人机</w:t>
            </w:r>
          </w:p>
        </w:tc>
      </w:tr>
      <w:tr>
        <w:tc>
          <w:tcPr>
            <w:tcW w:type="dxa" w:w="2880"/>
          </w:tcPr>
          <w:p>
            <w:r>
              <w:rPr>
                <w:rFonts w:ascii="Times New Roman" w:hAnsi="Times New Roman" w:eastAsia="宋体"/>
                <w:sz w:val="21"/>
              </w:rPr>
              <w:t>城市</w:t>
            </w:r>
          </w:p>
        </w:tc>
        <w:tc>
          <w:tcPr>
            <w:tcW w:type="dxa" w:w="2880"/>
          </w:tcPr>
          <w:p>
            <w:r>
              <w:rPr>
                <w:rFonts w:ascii="Times New Roman" w:hAnsi="Times New Roman" w:eastAsia="宋体"/>
                <w:sz w:val="21"/>
              </w:rPr>
              <w:t>作业地</w:t>
            </w:r>
          </w:p>
        </w:tc>
        <w:tc>
          <w:tcPr>
            <w:tcW w:type="dxa" w:w="2880"/>
          </w:tcPr>
          <w:p>
            <w:r>
              <w:rPr>
                <w:rFonts w:ascii="Times New Roman" w:hAnsi="Times New Roman" w:eastAsia="宋体"/>
                <w:sz w:val="21"/>
              </w:rPr>
              <w:t>北京</w:t>
            </w:r>
          </w:p>
        </w:tc>
      </w:tr>
      <w:tr>
        <w:tc>
          <w:tcPr>
            <w:tcW w:type="dxa" w:w="2880"/>
          </w:tcPr>
          <w:p>
            <w:r>
              <w:rPr>
                <w:rFonts w:ascii="Times New Roman" w:hAnsi="Times New Roman" w:eastAsia="宋体"/>
                <w:sz w:val="21"/>
              </w:rPr>
              <w:t>核心区标记</w:t>
            </w:r>
          </w:p>
        </w:tc>
        <w:tc>
          <w:tcPr>
            <w:tcW w:type="dxa" w:w="2880"/>
          </w:tcPr>
          <w:p>
            <w:r>
              <w:rPr>
                <w:rFonts w:ascii="Times New Roman" w:hAnsi="Times New Roman" w:eastAsia="宋体"/>
                <w:sz w:val="21"/>
              </w:rPr>
              <w:t>一环/中心城区等</w:t>
            </w:r>
          </w:p>
        </w:tc>
        <w:tc>
          <w:tcPr>
            <w:tcW w:type="dxa" w:w="2880"/>
          </w:tcPr>
          <w:p>
            <w:r>
              <w:rPr>
                <w:rFonts w:ascii="Times New Roman" w:hAnsi="Times New Roman" w:eastAsia="宋体"/>
                <w:sz w:val="21"/>
              </w:rPr>
              <w:t>是</w:t>
            </w:r>
          </w:p>
        </w:tc>
      </w:tr>
      <w:tr>
        <w:tc>
          <w:tcPr>
            <w:tcW w:type="dxa" w:w="2880"/>
          </w:tcPr>
          <w:p>
            <w:r>
              <w:rPr>
                <w:rFonts w:ascii="Times New Roman" w:hAnsi="Times New Roman" w:eastAsia="宋体"/>
                <w:sz w:val="21"/>
              </w:rPr>
              <w:t>附件迹象</w:t>
            </w:r>
          </w:p>
        </w:tc>
        <w:tc>
          <w:tcPr>
            <w:tcW w:type="dxa" w:w="2880"/>
          </w:tcPr>
          <w:p>
            <w:r>
              <w:rPr>
                <w:rFonts w:ascii="Times New Roman" w:hAnsi="Times New Roman" w:eastAsia="宋体"/>
                <w:sz w:val="21"/>
              </w:rPr>
              <w:t>文件名与正文报备句</w:t>
            </w:r>
          </w:p>
        </w:tc>
        <w:tc>
          <w:tcPr>
            <w:tcW w:type="dxa" w:w="2880"/>
          </w:tcPr>
          <w:p>
            <w:r>
              <w:rPr>
                <w:rFonts w:ascii="Times New Roman" w:hAnsi="Times New Roman" w:eastAsia="宋体"/>
                <w:sz w:val="21"/>
              </w:rPr>
              <w:t>未附</w:t>
            </w:r>
          </w:p>
        </w:tc>
      </w:tr>
      <w:tr>
        <w:tc>
          <w:tcPr>
            <w:tcW w:type="dxa" w:w="2880"/>
          </w:tcPr>
          <w:p>
            <w:r>
              <w:rPr>
                <w:rFonts w:ascii="Times New Roman" w:hAnsi="Times New Roman" w:eastAsia="宋体"/>
                <w:sz w:val="21"/>
              </w:rPr>
              <w:t>法规摘要</w:t>
            </w:r>
          </w:p>
        </w:tc>
        <w:tc>
          <w:tcPr>
            <w:tcW w:type="dxa" w:w="2880"/>
          </w:tcPr>
          <w:p>
            <w:r>
              <w:rPr>
                <w:rFonts w:ascii="Times New Roman" w:hAnsi="Times New Roman" w:eastAsia="宋体"/>
                <w:sz w:val="21"/>
              </w:rPr>
              <w:t>联网或本地限制知识</w:t>
            </w:r>
          </w:p>
        </w:tc>
        <w:tc>
          <w:tcPr>
            <w:tcW w:type="dxa" w:w="2880"/>
          </w:tcPr>
          <w:p>
            <w:r>
              <w:rPr>
                <w:rFonts w:ascii="Times New Roman" w:hAnsi="Times New Roman" w:eastAsia="宋体"/>
                <w:sz w:val="21"/>
              </w:rPr>
              <w:t>中心城限制更严</w:t>
            </w:r>
          </w:p>
        </w:tc>
      </w:tr>
    </w:tbl>
    <w:p>
      <w:pPr/>
    </w:p>
    <w:p>
      <w:pPr>
        <w:pStyle w:val="31"/>
      </w:pPr>
      <w:r>
        <w:t>核心计算逻辑</w:t>
      </w:r>
    </w:p>
    <w:p>
      <w:pPr>
        <w:pStyle w:val="4"/>
      </w:pPr>
      <w:r>
        <w:t>设备识别</w:t>
      </w:r>
    </w:p>
    <w:p>
      <w:pPr/>
      <w:r>
        <w:t>仅当正文确实使用该设备且不存在“不涉及、不使用”等否定结构时，才进入设备列表。</w:t>
      </w:r>
    </w:p>
    <w:p>
      <w:pPr>
        <w:pStyle w:val="4"/>
      </w:pPr>
      <w:r>
        <w:t>节点插入</w:t>
      </w:r>
    </w:p>
    <w:p>
      <w:pPr/>
      <w:r>
        <w:t>设备列表非空时，在归档前插入合规审查节点，形成权限链之后、备案之前的强制性环节。</w:t>
      </w:r>
    </w:p>
    <w:p>
      <w:pPr>
        <w:pStyle w:val="4"/>
      </w:pPr>
      <w:r>
        <w:t>限制加严</w:t>
      </w:r>
    </w:p>
    <w:p>
      <w:pPr/>
      <w:r>
        <w:t>当城市为北京且申报写明一环、二环以内或中心城区时，在审查说明中加严表述。</w:t>
      </w:r>
    </w:p>
    <w:p>
      <w:pPr>
        <w:pStyle w:val="4"/>
      </w:pPr>
      <w:r>
        <w:t>缺件阻断</w:t>
      </w:r>
    </w:p>
    <w:p>
      <w:pPr/>
      <w:r>
        <w:t>未附飞行活动申请或空域批准时，将当前节点置于合规审查，并输出缺件清单；已附则允许继续。</w:t>
      </w:r>
    </w:p>
    <w:p>
      <w:pPr>
        <w:pStyle w:val="a7"/>
      </w:pPr>
      <w:r>
        <w:t>表  特种作业合规闸门模型输出结果</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输出结果</w:t>
            </w:r>
          </w:p>
        </w:tc>
        <w:tc>
          <w:tcPr>
            <w:tcW w:type="dxa" w:w="2880"/>
          </w:tcPr>
          <w:p>
            <w:r>
              <w:rPr>
                <w:rFonts w:ascii="Times New Roman" w:hAnsi="Times New Roman" w:eastAsia="黑体"/>
                <w:b/>
                <w:sz w:val="21"/>
              </w:rPr>
              <w:t>说明</w:t>
            </w:r>
          </w:p>
        </w:tc>
        <w:tc>
          <w:tcPr>
            <w:tcW w:type="dxa" w:w="2880"/>
          </w:tcPr>
          <w:p>
            <w:r>
              <w:rPr>
                <w:rFonts w:ascii="Times New Roman" w:hAnsi="Times New Roman" w:eastAsia="黑体"/>
                <w:b/>
                <w:sz w:val="21"/>
              </w:rPr>
              <w:t>单位</w:t>
            </w:r>
          </w:p>
        </w:tc>
      </w:tr>
      <w:tr>
        <w:tc>
          <w:tcPr>
            <w:tcW w:type="dxa" w:w="2880"/>
          </w:tcPr>
          <w:p>
            <w:r>
              <w:rPr>
                <w:rFonts w:ascii="Times New Roman" w:hAnsi="Times New Roman" w:eastAsia="宋体"/>
                <w:sz w:val="21"/>
              </w:rPr>
              <w:t>是否插入合规</w:t>
            </w:r>
          </w:p>
        </w:tc>
        <w:tc>
          <w:tcPr>
            <w:tcW w:type="dxa" w:w="2880"/>
          </w:tcPr>
          <w:p>
            <w:r>
              <w:rPr>
                <w:rFonts w:ascii="Times New Roman" w:hAnsi="Times New Roman" w:eastAsia="宋体"/>
                <w:sz w:val="21"/>
              </w:rPr>
              <w:t>路径是否增加审查节点</w:t>
            </w:r>
          </w:p>
        </w:tc>
        <w:tc>
          <w:tcPr>
            <w:tcW w:type="dxa" w:w="2880"/>
          </w:tcPr>
          <w:p>
            <w:r>
              <w:rPr>
                <w:rFonts w:ascii="Times New Roman" w:hAnsi="Times New Roman" w:eastAsia="宋体"/>
                <w:sz w:val="21"/>
              </w:rPr>
              <w:t>是/否</w:t>
            </w:r>
          </w:p>
        </w:tc>
      </w:tr>
      <w:tr>
        <w:tc>
          <w:tcPr>
            <w:tcW w:type="dxa" w:w="2880"/>
          </w:tcPr>
          <w:p>
            <w:r>
              <w:rPr>
                <w:rFonts w:ascii="Times New Roman" w:hAnsi="Times New Roman" w:eastAsia="宋体"/>
                <w:sz w:val="21"/>
              </w:rPr>
              <w:t>是否阻断</w:t>
            </w:r>
          </w:p>
        </w:tc>
        <w:tc>
          <w:tcPr>
            <w:tcW w:type="dxa" w:w="2880"/>
          </w:tcPr>
          <w:p>
            <w:r>
              <w:rPr>
                <w:rFonts w:ascii="Times New Roman" w:hAnsi="Times New Roman" w:eastAsia="宋体"/>
                <w:sz w:val="21"/>
              </w:rPr>
              <w:t>缺件是否卡住</w:t>
            </w:r>
          </w:p>
        </w:tc>
        <w:tc>
          <w:tcPr>
            <w:tcW w:type="dxa" w:w="2880"/>
          </w:tcPr>
          <w:p>
            <w:r>
              <w:rPr>
                <w:rFonts w:ascii="Times New Roman" w:hAnsi="Times New Roman" w:eastAsia="宋体"/>
                <w:sz w:val="21"/>
              </w:rPr>
              <w:t>是/否</w:t>
            </w:r>
          </w:p>
        </w:tc>
      </w:tr>
      <w:tr>
        <w:tc>
          <w:tcPr>
            <w:tcW w:type="dxa" w:w="2880"/>
          </w:tcPr>
          <w:p>
            <w:r>
              <w:rPr>
                <w:rFonts w:ascii="Times New Roman" w:hAnsi="Times New Roman" w:eastAsia="宋体"/>
                <w:sz w:val="21"/>
              </w:rPr>
              <w:t>缺件清单</w:t>
            </w:r>
          </w:p>
        </w:tc>
        <w:tc>
          <w:tcPr>
            <w:tcW w:type="dxa" w:w="2880"/>
          </w:tcPr>
          <w:p>
            <w:r>
              <w:rPr>
                <w:rFonts w:ascii="Times New Roman" w:hAnsi="Times New Roman" w:eastAsia="宋体"/>
                <w:sz w:val="21"/>
              </w:rPr>
              <w:t>仍需补充的材料</w:t>
            </w:r>
          </w:p>
        </w:tc>
        <w:tc>
          <w:tcPr>
            <w:tcW w:type="dxa" w:w="2880"/>
          </w:tcPr>
          <w:p>
            <w:r>
              <w:rPr>
                <w:rFonts w:ascii="Times New Roman" w:hAnsi="Times New Roman" w:eastAsia="宋体"/>
                <w:sz w:val="21"/>
              </w:rPr>
              <w:t>文件类型列表</w:t>
            </w:r>
          </w:p>
        </w:tc>
      </w:tr>
      <w:tr>
        <w:tc>
          <w:tcPr>
            <w:tcW w:type="dxa" w:w="2880"/>
          </w:tcPr>
          <w:p>
            <w:r>
              <w:rPr>
                <w:rFonts w:ascii="Times New Roman" w:hAnsi="Times New Roman" w:eastAsia="宋体"/>
                <w:sz w:val="21"/>
              </w:rPr>
              <w:t>限制摘要</w:t>
            </w:r>
          </w:p>
        </w:tc>
        <w:tc>
          <w:tcPr>
            <w:tcW w:type="dxa" w:w="2880"/>
          </w:tcPr>
          <w:p>
            <w:r>
              <w:rPr>
                <w:rFonts w:ascii="Times New Roman" w:hAnsi="Times New Roman" w:eastAsia="宋体"/>
                <w:sz w:val="21"/>
              </w:rPr>
              <w:t>当地限制说明</w:t>
            </w:r>
          </w:p>
        </w:tc>
        <w:tc>
          <w:tcPr>
            <w:tcW w:type="dxa" w:w="2880"/>
          </w:tcPr>
          <w:p>
            <w:r>
              <w:rPr>
                <w:rFonts w:ascii="Times New Roman" w:hAnsi="Times New Roman" w:eastAsia="宋体"/>
                <w:sz w:val="21"/>
              </w:rPr>
              <w:t>文本</w:t>
            </w:r>
          </w:p>
        </w:tc>
      </w:tr>
    </w:tbl>
    <w:p>
      <w:pPr/>
    </w:p>
    <w:p>
      <w:pPr>
        <w:pStyle w:val="21"/>
      </w:pPr>
      <w:r>
        <w:t>部门容量占用模型</w:t>
      </w:r>
    </w:p>
    <w:p>
      <w:pPr>
        <w:pStyle w:val="31"/>
      </w:pPr>
      <w:r>
        <w:t>模型概述</w:t>
      </w:r>
    </w:p>
    <w:p>
      <w:pPr/>
      <w:r>
        <w:t>部门容量占用模型用于刻画规章制度中的并行工作数如何影响日历和延迟。模型从管理办法中抽取“某部建议并行工作数为N”一类条款，写入对应部门的并行上限，再根据在办事项占用计算空闲、忙碌或饱和。为了使传导成立，按单生成的路径必须计入负荷，而不能只统计少数写死模板。</w:t>
      </w:r>
    </w:p>
    <w:p>
      <w:pPr>
        <w:pStyle w:val="a7"/>
      </w:pPr>
      <w:r>
        <w:t>表  部门容量占用模型输入参数</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输入参数</w:t>
            </w:r>
          </w:p>
        </w:tc>
        <w:tc>
          <w:tcPr>
            <w:tcW w:type="dxa" w:w="2880"/>
          </w:tcPr>
          <w:p>
            <w:r>
              <w:rPr>
                <w:rFonts w:ascii="Times New Roman" w:hAnsi="Times New Roman" w:eastAsia="黑体"/>
                <w:b/>
                <w:sz w:val="21"/>
              </w:rPr>
              <w:t>说明</w:t>
            </w:r>
          </w:p>
        </w:tc>
        <w:tc>
          <w:tcPr>
            <w:tcW w:type="dxa" w:w="2880"/>
          </w:tcPr>
          <w:p>
            <w:r>
              <w:rPr>
                <w:rFonts w:ascii="Times New Roman" w:hAnsi="Times New Roman" w:eastAsia="黑体"/>
                <w:b/>
                <w:sz w:val="21"/>
              </w:rPr>
              <w:t>示例</w:t>
            </w:r>
          </w:p>
        </w:tc>
      </w:tr>
      <w:tr>
        <w:tc>
          <w:tcPr>
            <w:tcW w:type="dxa" w:w="2880"/>
          </w:tcPr>
          <w:p>
            <w:r>
              <w:rPr>
                <w:rFonts w:ascii="Times New Roman" w:hAnsi="Times New Roman" w:eastAsia="宋体"/>
                <w:sz w:val="21"/>
              </w:rPr>
              <w:t>部门</w:t>
            </w:r>
          </w:p>
        </w:tc>
        <w:tc>
          <w:tcPr>
            <w:tcW w:type="dxa" w:w="2880"/>
          </w:tcPr>
          <w:p>
            <w:r>
              <w:rPr>
                <w:rFonts w:ascii="Times New Roman" w:hAnsi="Times New Roman" w:eastAsia="宋体"/>
                <w:sz w:val="21"/>
              </w:rPr>
              <w:t>标准部门实体</w:t>
            </w:r>
          </w:p>
        </w:tc>
        <w:tc>
          <w:tcPr>
            <w:tcW w:type="dxa" w:w="2880"/>
          </w:tcPr>
          <w:p>
            <w:r>
              <w:rPr>
                <w:rFonts w:ascii="Times New Roman" w:hAnsi="Times New Roman" w:eastAsia="宋体"/>
                <w:sz w:val="21"/>
              </w:rPr>
              <w:t>研发部</w:t>
            </w:r>
          </w:p>
        </w:tc>
      </w:tr>
      <w:tr>
        <w:tc>
          <w:tcPr>
            <w:tcW w:type="dxa" w:w="2880"/>
          </w:tcPr>
          <w:p>
            <w:r>
              <w:rPr>
                <w:rFonts w:ascii="Times New Roman" w:hAnsi="Times New Roman" w:eastAsia="宋体"/>
                <w:sz w:val="21"/>
              </w:rPr>
              <w:t>并行上限</w:t>
            </w:r>
          </w:p>
        </w:tc>
        <w:tc>
          <w:tcPr>
            <w:tcW w:type="dxa" w:w="2880"/>
          </w:tcPr>
          <w:p>
            <w:r>
              <w:rPr>
                <w:rFonts w:ascii="Times New Roman" w:hAnsi="Times New Roman" w:eastAsia="宋体"/>
                <w:sz w:val="21"/>
              </w:rPr>
              <w:t>制度抽取结果</w:t>
            </w:r>
          </w:p>
        </w:tc>
        <w:tc>
          <w:tcPr>
            <w:tcW w:type="dxa" w:w="2880"/>
          </w:tcPr>
          <w:p>
            <w:r>
              <w:rPr>
                <w:rFonts w:ascii="Times New Roman" w:hAnsi="Times New Roman" w:eastAsia="宋体"/>
                <w:sz w:val="21"/>
              </w:rPr>
              <w:t>1</w:t>
            </w:r>
          </w:p>
        </w:tc>
      </w:tr>
      <w:tr>
        <w:tc>
          <w:tcPr>
            <w:tcW w:type="dxa" w:w="2880"/>
          </w:tcPr>
          <w:p>
            <w:r>
              <w:rPr>
                <w:rFonts w:ascii="Times New Roman" w:hAnsi="Times New Roman" w:eastAsia="宋体"/>
                <w:sz w:val="21"/>
              </w:rPr>
              <w:t>在办占用</w:t>
            </w:r>
          </w:p>
        </w:tc>
        <w:tc>
          <w:tcPr>
            <w:tcW w:type="dxa" w:w="2880"/>
          </w:tcPr>
          <w:p>
            <w:r>
              <w:rPr>
                <w:rFonts w:ascii="Times New Roman" w:hAnsi="Times New Roman" w:eastAsia="宋体"/>
                <w:sz w:val="21"/>
              </w:rPr>
              <w:t>当日占用该部门的事项数</w:t>
            </w:r>
          </w:p>
        </w:tc>
        <w:tc>
          <w:tcPr>
            <w:tcW w:type="dxa" w:w="2880"/>
          </w:tcPr>
          <w:p>
            <w:r>
              <w:rPr>
                <w:rFonts w:ascii="Times New Roman" w:hAnsi="Times New Roman" w:eastAsia="宋体"/>
                <w:sz w:val="21"/>
              </w:rPr>
              <w:t>1</w:t>
            </w:r>
          </w:p>
        </w:tc>
      </w:tr>
      <w:tr>
        <w:tc>
          <w:tcPr>
            <w:tcW w:type="dxa" w:w="2880"/>
          </w:tcPr>
          <w:p>
            <w:r>
              <w:rPr>
                <w:rFonts w:ascii="Times New Roman" w:hAnsi="Times New Roman" w:eastAsia="宋体"/>
                <w:sz w:val="21"/>
              </w:rPr>
              <w:t>节点时限</w:t>
            </w:r>
          </w:p>
        </w:tc>
        <w:tc>
          <w:tcPr>
            <w:tcW w:type="dxa" w:w="2880"/>
          </w:tcPr>
          <w:p>
            <w:r>
              <w:rPr>
                <w:rFonts w:ascii="Times New Roman" w:hAnsi="Times New Roman" w:eastAsia="宋体"/>
                <w:sz w:val="21"/>
              </w:rPr>
              <w:t>当前环节SLA</w:t>
            </w:r>
          </w:p>
        </w:tc>
        <w:tc>
          <w:tcPr>
            <w:tcW w:type="dxa" w:w="2880"/>
          </w:tcPr>
          <w:p>
            <w:r>
              <w:rPr>
                <w:rFonts w:ascii="Times New Roman" w:hAnsi="Times New Roman" w:eastAsia="宋体"/>
                <w:sz w:val="21"/>
              </w:rPr>
              <w:t>工作日</w:t>
            </w:r>
          </w:p>
        </w:tc>
      </w:tr>
    </w:tbl>
    <w:p>
      <w:pPr/>
    </w:p>
    <w:p>
      <w:pPr>
        <w:pStyle w:val="31"/>
      </w:pPr>
      <w:r>
        <w:t>核心计算逻辑</w:t>
      </w:r>
    </w:p>
    <w:p>
      <w:pPr>
        <w:pStyle w:val="4"/>
      </w:pPr>
      <w:r>
        <w:t>上限抽取</w:t>
      </w:r>
    </w:p>
    <w:p>
      <w:pPr/>
      <w:r>
        <w:t>只对已识别的真实部门写回上限，避免把正文中的普通词误当作新部门。</w:t>
      </w:r>
    </w:p>
    <w:p>
      <w:pPr>
        <w:pStyle w:val="4"/>
      </w:pPr>
      <w:r>
        <w:t>占用统计</w:t>
      </w:r>
    </w:p>
    <w:p>
      <w:pPr/>
      <w:r>
        <w:t>统计落入该部门当前环节的在办事项，生成路径与底稿路径同等计入。</w:t>
      </w:r>
    </w:p>
    <w:p>
      <w:pPr>
        <w:pStyle w:val="4"/>
      </w:pPr>
      <w:r>
        <w:t>负荷分级</w:t>
      </w:r>
    </w:p>
    <w:p>
      <w:pPr/>
      <w:r>
        <w:t>占用相对于上限形成空闲、忙碌、饱和。饱和时给出额外工作日延迟。</w:t>
      </w:r>
    </w:p>
    <w:p>
      <w:pPr>
        <w:pStyle w:val="4"/>
      </w:pPr>
      <w:r>
        <w:t>制度冲击</w:t>
      </w:r>
    </w:p>
    <w:p>
      <w:pPr/>
      <w:r>
        <w:t>当并行工作数从较大值改为1时，同一在办结构下日历应由相对宽松转为明显约束，这是可行性验证的关键观察点。</w:t>
      </w:r>
    </w:p>
    <w:p>
      <w:pPr>
        <w:pStyle w:val="a7"/>
      </w:pPr>
      <w:r>
        <w:t>表  部门容量占用模型输出结果</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输出结果</w:t>
            </w:r>
          </w:p>
        </w:tc>
        <w:tc>
          <w:tcPr>
            <w:tcW w:type="dxa" w:w="2880"/>
          </w:tcPr>
          <w:p>
            <w:r>
              <w:rPr>
                <w:rFonts w:ascii="Times New Roman" w:hAnsi="Times New Roman" w:eastAsia="黑体"/>
                <w:b/>
                <w:sz w:val="21"/>
              </w:rPr>
              <w:t>说明</w:t>
            </w:r>
          </w:p>
        </w:tc>
        <w:tc>
          <w:tcPr>
            <w:tcW w:type="dxa" w:w="2880"/>
          </w:tcPr>
          <w:p>
            <w:r>
              <w:rPr>
                <w:rFonts w:ascii="Times New Roman" w:hAnsi="Times New Roman" w:eastAsia="黑体"/>
                <w:b/>
                <w:sz w:val="21"/>
              </w:rPr>
              <w:t>单位</w:t>
            </w:r>
          </w:p>
        </w:tc>
      </w:tr>
      <w:tr>
        <w:tc>
          <w:tcPr>
            <w:tcW w:type="dxa" w:w="2880"/>
          </w:tcPr>
          <w:p>
            <w:r>
              <w:rPr>
                <w:rFonts w:ascii="Times New Roman" w:hAnsi="Times New Roman" w:eastAsia="宋体"/>
                <w:sz w:val="21"/>
              </w:rPr>
              <w:t>并行上限</w:t>
            </w:r>
          </w:p>
        </w:tc>
        <w:tc>
          <w:tcPr>
            <w:tcW w:type="dxa" w:w="2880"/>
          </w:tcPr>
          <w:p>
            <w:r>
              <w:rPr>
                <w:rFonts w:ascii="Times New Roman" w:hAnsi="Times New Roman" w:eastAsia="宋体"/>
                <w:sz w:val="21"/>
              </w:rPr>
              <w:t>制度写回后的容量</w:t>
            </w:r>
          </w:p>
        </w:tc>
        <w:tc>
          <w:tcPr>
            <w:tcW w:type="dxa" w:w="2880"/>
          </w:tcPr>
          <w:p>
            <w:r>
              <w:rPr>
                <w:rFonts w:ascii="Times New Roman" w:hAnsi="Times New Roman" w:eastAsia="宋体"/>
                <w:sz w:val="21"/>
              </w:rPr>
              <w:t>单</w:t>
            </w:r>
          </w:p>
        </w:tc>
      </w:tr>
      <w:tr>
        <w:tc>
          <w:tcPr>
            <w:tcW w:type="dxa" w:w="2880"/>
          </w:tcPr>
          <w:p>
            <w:r>
              <w:rPr>
                <w:rFonts w:ascii="Times New Roman" w:hAnsi="Times New Roman" w:eastAsia="宋体"/>
                <w:sz w:val="21"/>
              </w:rPr>
              <w:t>占用</w:t>
            </w:r>
          </w:p>
        </w:tc>
        <w:tc>
          <w:tcPr>
            <w:tcW w:type="dxa" w:w="2880"/>
          </w:tcPr>
          <w:p>
            <w:r>
              <w:rPr>
                <w:rFonts w:ascii="Times New Roman" w:hAnsi="Times New Roman" w:eastAsia="宋体"/>
                <w:sz w:val="21"/>
              </w:rPr>
              <w:t>当日在办数</w:t>
            </w:r>
          </w:p>
        </w:tc>
        <w:tc>
          <w:tcPr>
            <w:tcW w:type="dxa" w:w="2880"/>
          </w:tcPr>
          <w:p>
            <w:r>
              <w:rPr>
                <w:rFonts w:ascii="Times New Roman" w:hAnsi="Times New Roman" w:eastAsia="宋体"/>
                <w:sz w:val="21"/>
              </w:rPr>
              <w:t>单</w:t>
            </w:r>
          </w:p>
        </w:tc>
      </w:tr>
      <w:tr>
        <w:tc>
          <w:tcPr>
            <w:tcW w:type="dxa" w:w="2880"/>
          </w:tcPr>
          <w:p>
            <w:r>
              <w:rPr>
                <w:rFonts w:ascii="Times New Roman" w:hAnsi="Times New Roman" w:eastAsia="宋体"/>
                <w:sz w:val="21"/>
              </w:rPr>
              <w:t>负荷等级</w:t>
            </w:r>
          </w:p>
        </w:tc>
        <w:tc>
          <w:tcPr>
            <w:tcW w:type="dxa" w:w="2880"/>
          </w:tcPr>
          <w:p>
            <w:r>
              <w:rPr>
                <w:rFonts w:ascii="Times New Roman" w:hAnsi="Times New Roman" w:eastAsia="宋体"/>
                <w:sz w:val="21"/>
              </w:rPr>
              <w:t>空闲/忙碌/饱和</w:t>
            </w:r>
          </w:p>
        </w:tc>
        <w:tc>
          <w:tcPr>
            <w:tcW w:type="dxa" w:w="2880"/>
          </w:tcPr>
          <w:p>
            <w:r>
              <w:rPr>
                <w:rFonts w:ascii="Times New Roman" w:hAnsi="Times New Roman" w:eastAsia="宋体"/>
                <w:sz w:val="21"/>
              </w:rPr>
              <w:t>等级</w:t>
            </w:r>
          </w:p>
        </w:tc>
      </w:tr>
      <w:tr>
        <w:tc>
          <w:tcPr>
            <w:tcW w:type="dxa" w:w="2880"/>
          </w:tcPr>
          <w:p>
            <w:r>
              <w:rPr>
                <w:rFonts w:ascii="Times New Roman" w:hAnsi="Times New Roman" w:eastAsia="宋体"/>
                <w:sz w:val="21"/>
              </w:rPr>
              <w:t>额外延迟</w:t>
            </w:r>
          </w:p>
        </w:tc>
        <w:tc>
          <w:tcPr>
            <w:tcW w:type="dxa" w:w="2880"/>
          </w:tcPr>
          <w:p>
            <w:r>
              <w:rPr>
                <w:rFonts w:ascii="Times New Roman" w:hAnsi="Times New Roman" w:eastAsia="宋体"/>
                <w:sz w:val="21"/>
              </w:rPr>
              <w:t>过载导致的工作日</w:t>
            </w:r>
          </w:p>
        </w:tc>
        <w:tc>
          <w:tcPr>
            <w:tcW w:type="dxa" w:w="2880"/>
          </w:tcPr>
          <w:p>
            <w:r>
              <w:rPr>
                <w:rFonts w:ascii="Times New Roman" w:hAnsi="Times New Roman" w:eastAsia="宋体"/>
                <w:sz w:val="21"/>
              </w:rPr>
              <w:t>天</w:t>
            </w:r>
          </w:p>
        </w:tc>
      </w:tr>
    </w:tbl>
    <w:p>
      <w:pPr/>
    </w:p>
    <w:p>
      <w:pPr>
        <w:pStyle w:val="21"/>
      </w:pPr>
      <w:r>
        <w:t>缺件停滞与解卡模型</w:t>
      </w:r>
    </w:p>
    <w:p>
      <w:pPr>
        <w:pStyle w:val="31"/>
      </w:pPr>
      <w:r>
        <w:t>模型概述</w:t>
      </w:r>
    </w:p>
    <w:p>
      <w:pPr/>
      <w:r>
        <w:t>缺件停滞与解卡模型用于刻画报备材料如何调节合规闸门。提交时若关键附件缺失，流程在合规节点停滞；补传飞行活动申请和空域批准后，重新计算缺件集合，齐备则解除停滞，使事项回到可流转状态。模型处理的是证据状态，而不是人工在界面上把状态改成通过。</w:t>
      </w:r>
    </w:p>
    <w:p>
      <w:pPr>
        <w:pStyle w:val="a7"/>
      </w:pPr>
      <w:r>
        <w:t>表  缺件停滞与解卡模型输入参数</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输入参数</w:t>
            </w:r>
          </w:p>
        </w:tc>
        <w:tc>
          <w:tcPr>
            <w:tcW w:type="dxa" w:w="2880"/>
          </w:tcPr>
          <w:p>
            <w:r>
              <w:rPr>
                <w:rFonts w:ascii="Times New Roman" w:hAnsi="Times New Roman" w:eastAsia="黑体"/>
                <w:b/>
                <w:sz w:val="21"/>
              </w:rPr>
              <w:t>说明</w:t>
            </w:r>
          </w:p>
        </w:tc>
        <w:tc>
          <w:tcPr>
            <w:tcW w:type="dxa" w:w="2880"/>
          </w:tcPr>
          <w:p>
            <w:r>
              <w:rPr>
                <w:rFonts w:ascii="Times New Roman" w:hAnsi="Times New Roman" w:eastAsia="黑体"/>
                <w:b/>
                <w:sz w:val="21"/>
              </w:rPr>
              <w:t>示例</w:t>
            </w:r>
          </w:p>
        </w:tc>
      </w:tr>
      <w:tr>
        <w:tc>
          <w:tcPr>
            <w:tcW w:type="dxa" w:w="2880"/>
          </w:tcPr>
          <w:p>
            <w:r>
              <w:rPr>
                <w:rFonts w:ascii="Times New Roman" w:hAnsi="Times New Roman" w:eastAsia="宋体"/>
                <w:sz w:val="21"/>
              </w:rPr>
              <w:t>原申报对象</w:t>
            </w:r>
          </w:p>
        </w:tc>
        <w:tc>
          <w:tcPr>
            <w:tcW w:type="dxa" w:w="2880"/>
          </w:tcPr>
          <w:p>
            <w:r>
              <w:rPr>
                <w:rFonts w:ascii="Times New Roman" w:hAnsi="Times New Roman" w:eastAsia="宋体"/>
                <w:sz w:val="21"/>
              </w:rPr>
              <w:t>城市、设备、核心区标记</w:t>
            </w:r>
          </w:p>
        </w:tc>
        <w:tc>
          <w:tcPr>
            <w:tcW w:type="dxa" w:w="2880"/>
          </w:tcPr>
          <w:p>
            <w:r>
              <w:rPr>
                <w:rFonts w:ascii="Times New Roman" w:hAnsi="Times New Roman" w:eastAsia="宋体"/>
                <w:sz w:val="21"/>
              </w:rPr>
              <w:t>北京+无人机</w:t>
            </w:r>
          </w:p>
        </w:tc>
      </w:tr>
      <w:tr>
        <w:tc>
          <w:tcPr>
            <w:tcW w:type="dxa" w:w="2880"/>
          </w:tcPr>
          <w:p>
            <w:r>
              <w:rPr>
                <w:rFonts w:ascii="Times New Roman" w:hAnsi="Times New Roman" w:eastAsia="宋体"/>
                <w:sz w:val="21"/>
              </w:rPr>
              <w:t>已有附件</w:t>
            </w:r>
          </w:p>
        </w:tc>
        <w:tc>
          <w:tcPr>
            <w:tcW w:type="dxa" w:w="2880"/>
          </w:tcPr>
          <w:p>
            <w:r>
              <w:rPr>
                <w:rFonts w:ascii="Times New Roman" w:hAnsi="Times New Roman" w:eastAsia="宋体"/>
                <w:sz w:val="21"/>
              </w:rPr>
              <w:t>首次提交文件</w:t>
            </w:r>
          </w:p>
        </w:tc>
        <w:tc>
          <w:tcPr>
            <w:tcW w:type="dxa" w:w="2880"/>
          </w:tcPr>
          <w:p>
            <w:r>
              <w:rPr>
                <w:rFonts w:ascii="Times New Roman" w:hAnsi="Times New Roman" w:eastAsia="宋体"/>
                <w:sz w:val="21"/>
              </w:rPr>
              <w:t>立项申报书</w:t>
            </w:r>
          </w:p>
        </w:tc>
      </w:tr>
      <w:tr>
        <w:tc>
          <w:tcPr>
            <w:tcW w:type="dxa" w:w="2880"/>
          </w:tcPr>
          <w:p>
            <w:r>
              <w:rPr>
                <w:rFonts w:ascii="Times New Roman" w:hAnsi="Times New Roman" w:eastAsia="宋体"/>
                <w:sz w:val="21"/>
              </w:rPr>
              <w:t>补传附件</w:t>
            </w:r>
          </w:p>
        </w:tc>
        <w:tc>
          <w:tcPr>
            <w:tcW w:type="dxa" w:w="2880"/>
          </w:tcPr>
          <w:p>
            <w:r>
              <w:rPr>
                <w:rFonts w:ascii="Times New Roman" w:hAnsi="Times New Roman" w:eastAsia="宋体"/>
                <w:sz w:val="21"/>
              </w:rPr>
              <w:t>新上传文件名</w:t>
            </w:r>
          </w:p>
        </w:tc>
        <w:tc>
          <w:tcPr>
            <w:tcW w:type="dxa" w:w="2880"/>
          </w:tcPr>
          <w:p>
            <w:r>
              <w:rPr>
                <w:rFonts w:ascii="Times New Roman" w:hAnsi="Times New Roman" w:eastAsia="宋体"/>
                <w:sz w:val="21"/>
              </w:rPr>
              <w:t>飞行活动申请、空域批准</w:t>
            </w:r>
          </w:p>
        </w:tc>
      </w:tr>
      <w:tr>
        <w:tc>
          <w:tcPr>
            <w:tcW w:type="dxa" w:w="2880"/>
          </w:tcPr>
          <w:p>
            <w:r>
              <w:rPr>
                <w:rFonts w:ascii="Times New Roman" w:hAnsi="Times New Roman" w:eastAsia="宋体"/>
                <w:sz w:val="21"/>
              </w:rPr>
              <w:t>建议备查材料</w:t>
            </w:r>
          </w:p>
        </w:tc>
        <w:tc>
          <w:tcPr>
            <w:tcW w:type="dxa" w:w="2880"/>
          </w:tcPr>
          <w:p>
            <w:r>
              <w:rPr>
                <w:rFonts w:ascii="Times New Roman" w:hAnsi="Times New Roman" w:eastAsia="宋体"/>
                <w:sz w:val="21"/>
              </w:rPr>
              <w:t>合规模型给出的清单</w:t>
            </w:r>
          </w:p>
        </w:tc>
        <w:tc>
          <w:tcPr>
            <w:tcW w:type="dxa" w:w="2880"/>
          </w:tcPr>
          <w:p>
            <w:r>
              <w:rPr>
                <w:rFonts w:ascii="Times New Roman" w:hAnsi="Times New Roman" w:eastAsia="宋体"/>
                <w:sz w:val="21"/>
              </w:rPr>
              <w:t>两类报备材料</w:t>
            </w:r>
          </w:p>
        </w:tc>
      </w:tr>
    </w:tbl>
    <w:p>
      <w:pPr/>
    </w:p>
    <w:p>
      <w:pPr>
        <w:pStyle w:val="31"/>
      </w:pPr>
      <w:r>
        <w:t>核心计算逻辑</w:t>
      </w:r>
    </w:p>
    <w:p>
      <w:pPr>
        <w:pStyle w:val="4"/>
      </w:pPr>
      <w:r>
        <w:t>缺件集合</w:t>
      </w:r>
    </w:p>
    <w:p>
      <w:pPr/>
      <w:r>
        <w:t>以建议备查材料为全集，去掉已经由文件名或正文报备句覆盖的部分，得到仍缺失集合。</w:t>
      </w:r>
    </w:p>
    <w:p>
      <w:pPr>
        <w:pStyle w:val="4"/>
      </w:pPr>
      <w:r>
        <w:t>停滞写入</w:t>
      </w:r>
    </w:p>
    <w:p>
      <w:pPr/>
      <w:r>
        <w:t>仍缺失集合非空时，停滞码为缺件，原因说明列出未附文件，流程停留在合规审查。</w:t>
      </w:r>
    </w:p>
    <w:p>
      <w:pPr>
        <w:pStyle w:val="4"/>
      </w:pPr>
      <w:r>
        <w:t>解卡条件</w:t>
      </w:r>
    </w:p>
    <w:p>
      <w:pPr/>
      <w:r>
        <w:t>仍缺失集合为空时，清除缺件停滞。若此后仅存在负荷过载，则转为容量类解释，而不再使用缺件理由。</w:t>
      </w:r>
    </w:p>
    <w:p>
      <w:pPr>
        <w:pStyle w:val="4"/>
      </w:pPr>
      <w:r>
        <w:t>反馈闭环</w:t>
      </w:r>
    </w:p>
    <w:p>
      <w:pPr/>
      <w:r>
        <w:t>解卡后清单、详情和时间线同步变化，形成“缺件—补传—重审—继续”的经营侧可见闭环。</w:t>
      </w:r>
    </w:p>
    <w:p>
      <w:pPr>
        <w:pStyle w:val="a7"/>
      </w:pPr>
      <w:r>
        <w:t>表  缺件停滞与解卡模型输出结果</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输出结果</w:t>
            </w:r>
          </w:p>
        </w:tc>
        <w:tc>
          <w:tcPr>
            <w:tcW w:type="dxa" w:w="2880"/>
          </w:tcPr>
          <w:p>
            <w:r>
              <w:rPr>
                <w:rFonts w:ascii="Times New Roman" w:hAnsi="Times New Roman" w:eastAsia="黑体"/>
                <w:b/>
                <w:sz w:val="21"/>
              </w:rPr>
              <w:t>说明</w:t>
            </w:r>
          </w:p>
        </w:tc>
        <w:tc>
          <w:tcPr>
            <w:tcW w:type="dxa" w:w="2880"/>
          </w:tcPr>
          <w:p>
            <w:r>
              <w:rPr>
                <w:rFonts w:ascii="Times New Roman" w:hAnsi="Times New Roman" w:eastAsia="黑体"/>
                <w:b/>
                <w:sz w:val="21"/>
              </w:rPr>
              <w:t>单位</w:t>
            </w:r>
          </w:p>
        </w:tc>
      </w:tr>
      <w:tr>
        <w:tc>
          <w:tcPr>
            <w:tcW w:type="dxa" w:w="2880"/>
          </w:tcPr>
          <w:p>
            <w:r>
              <w:rPr>
                <w:rFonts w:ascii="Times New Roman" w:hAnsi="Times New Roman" w:eastAsia="宋体"/>
                <w:sz w:val="21"/>
              </w:rPr>
              <w:t>缺件集合</w:t>
            </w:r>
          </w:p>
        </w:tc>
        <w:tc>
          <w:tcPr>
            <w:tcW w:type="dxa" w:w="2880"/>
          </w:tcPr>
          <w:p>
            <w:r>
              <w:rPr>
                <w:rFonts w:ascii="Times New Roman" w:hAnsi="Times New Roman" w:eastAsia="宋体"/>
                <w:sz w:val="21"/>
              </w:rPr>
              <w:t>重审后仍缺失的材料</w:t>
            </w:r>
          </w:p>
        </w:tc>
        <w:tc>
          <w:tcPr>
            <w:tcW w:type="dxa" w:w="2880"/>
          </w:tcPr>
          <w:p>
            <w:r>
              <w:rPr>
                <w:rFonts w:ascii="Times New Roman" w:hAnsi="Times New Roman" w:eastAsia="宋体"/>
                <w:sz w:val="21"/>
              </w:rPr>
              <w:t>列表</w:t>
            </w:r>
          </w:p>
        </w:tc>
      </w:tr>
      <w:tr>
        <w:tc>
          <w:tcPr>
            <w:tcW w:type="dxa" w:w="2880"/>
          </w:tcPr>
          <w:p>
            <w:r>
              <w:rPr>
                <w:rFonts w:ascii="Times New Roman" w:hAnsi="Times New Roman" w:eastAsia="宋体"/>
                <w:sz w:val="21"/>
              </w:rPr>
              <w:t>停滞码</w:t>
            </w:r>
          </w:p>
        </w:tc>
        <w:tc>
          <w:tcPr>
            <w:tcW w:type="dxa" w:w="2880"/>
          </w:tcPr>
          <w:p>
            <w:r>
              <w:rPr>
                <w:rFonts w:ascii="Times New Roman" w:hAnsi="Times New Roman" w:eastAsia="宋体"/>
                <w:sz w:val="21"/>
              </w:rPr>
              <w:t>缺件或空</w:t>
            </w:r>
          </w:p>
        </w:tc>
        <w:tc>
          <w:tcPr>
            <w:tcW w:type="dxa" w:w="2880"/>
          </w:tcPr>
          <w:p>
            <w:r>
              <w:rPr>
                <w:rFonts w:ascii="Times New Roman" w:hAnsi="Times New Roman" w:eastAsia="宋体"/>
                <w:sz w:val="21"/>
              </w:rPr>
              <w:t>编码</w:t>
            </w:r>
          </w:p>
        </w:tc>
      </w:tr>
      <w:tr>
        <w:tc>
          <w:tcPr>
            <w:tcW w:type="dxa" w:w="2880"/>
          </w:tcPr>
          <w:p>
            <w:r>
              <w:rPr>
                <w:rFonts w:ascii="Times New Roman" w:hAnsi="Times New Roman" w:eastAsia="宋体"/>
                <w:sz w:val="21"/>
              </w:rPr>
              <w:t>当前节点</w:t>
            </w:r>
          </w:p>
        </w:tc>
        <w:tc>
          <w:tcPr>
            <w:tcW w:type="dxa" w:w="2880"/>
          </w:tcPr>
          <w:p>
            <w:r>
              <w:rPr>
                <w:rFonts w:ascii="Times New Roman" w:hAnsi="Times New Roman" w:eastAsia="宋体"/>
                <w:sz w:val="21"/>
              </w:rPr>
              <w:t>阻断或恢复后的位置</w:t>
            </w:r>
          </w:p>
        </w:tc>
        <w:tc>
          <w:tcPr>
            <w:tcW w:type="dxa" w:w="2880"/>
          </w:tcPr>
          <w:p>
            <w:r>
              <w:rPr>
                <w:rFonts w:ascii="Times New Roman" w:hAnsi="Times New Roman" w:eastAsia="宋体"/>
                <w:sz w:val="21"/>
              </w:rPr>
              <w:t>节点</w:t>
            </w:r>
          </w:p>
        </w:tc>
      </w:tr>
      <w:tr>
        <w:tc>
          <w:tcPr>
            <w:tcW w:type="dxa" w:w="2880"/>
          </w:tcPr>
          <w:p>
            <w:r>
              <w:rPr>
                <w:rFonts w:ascii="Times New Roman" w:hAnsi="Times New Roman" w:eastAsia="宋体"/>
                <w:sz w:val="21"/>
              </w:rPr>
              <w:t>解卡是否成立</w:t>
            </w:r>
          </w:p>
        </w:tc>
        <w:tc>
          <w:tcPr>
            <w:tcW w:type="dxa" w:w="2880"/>
          </w:tcPr>
          <w:p>
            <w:r>
              <w:rPr>
                <w:rFonts w:ascii="Times New Roman" w:hAnsi="Times New Roman" w:eastAsia="宋体"/>
                <w:sz w:val="21"/>
              </w:rPr>
              <w:t>是否允许继续流转</w:t>
            </w:r>
          </w:p>
        </w:tc>
        <w:tc>
          <w:tcPr>
            <w:tcW w:type="dxa" w:w="2880"/>
          </w:tcPr>
          <w:p>
            <w:r>
              <w:rPr>
                <w:rFonts w:ascii="Times New Roman" w:hAnsi="Times New Roman" w:eastAsia="宋体"/>
                <w:sz w:val="21"/>
              </w:rPr>
              <w:t>是/否</w:t>
            </w:r>
          </w:p>
        </w:tc>
      </w:tr>
    </w:tbl>
    <w:p>
      <w:pPr/>
    </w:p>
    <w:p>
      <w:pPr>
        <w:pStyle w:val="21"/>
      </w:pPr>
      <w:r>
        <w:t>多阶影响推演方法</w:t>
      </w:r>
    </w:p>
    <w:p>
      <w:pPr>
        <w:pStyle w:val="31"/>
      </w:pPr>
      <w:r>
        <w:t>推演基本思想</w:t>
      </w:r>
    </w:p>
    <w:p>
      <w:pPr/>
      <w:r>
        <w:t>多阶影响推演是传导分析的核心方法，它通过逐层分析事件的直接影响和间接影响，全面评估申报或制度变化对审批决策的综合作用。</w:t>
      </w:r>
    </w:p>
    <w:p>
      <w:pPr/>
      <w:r>
        <w:t>（1）基本概念：</w:t>
      </w:r>
    </w:p>
    <w:p>
      <w:pPr/>
      <w:r>
        <w:t>一阶影响：事件对路径节点的直接作用。</w:t>
      </w:r>
    </w:p>
    <w:p>
      <w:pPr/>
      <w:r>
        <w:t>二阶影响：直接作用经过合规审查后的结果。</w:t>
      </w:r>
    </w:p>
    <w:p>
      <w:pPr/>
      <w:r>
        <w:t>三阶及更高阶影响：通常进入负荷、延迟和清单风险层面。</w:t>
      </w:r>
    </w:p>
    <w:p>
      <w:pPr/>
      <w:r>
        <w:t>反馈影响：补件、改制度或调整安排改变原有路径。</w:t>
      </w:r>
    </w:p>
    <w:p>
      <w:pPr/>
      <w:r>
        <w:t>多阶推演的目的不是为了追求无限深度，而是在业务逻辑和证据约束下，识别对审批决策有意义的主要路径。一般来说，重点分析三至四阶影响就足够了，超过一定层级后应以情景范围表达。</w:t>
      </w:r>
    </w:p>
    <w:p>
      <w:pPr/>
      <w:r>
        <w:t>（2）推演原则</w:t>
      </w:r>
    </w:p>
    <w:p>
      <w:pPr/>
      <w:r>
        <w:t>业务逻辑优先：不能仅凭统计共现建立因果关系。</w:t>
      </w:r>
    </w:p>
    <w:p>
      <w:pPr/>
      <w:r>
        <w:t>因果顺序约束：提交先于生成，生成先于审查，审查先于占用，占用先于清单解释。</w:t>
      </w:r>
    </w:p>
    <w:p>
      <w:pPr/>
      <w:r>
        <w:t>证据支撑：每条路径都要有制度、申报或附件证据。</w:t>
      </w:r>
    </w:p>
    <w:p>
      <w:pPr/>
      <w:r>
        <w:t>条件化表达：过线、有设备、缺件、饱和都是有条件才成立的关系。</w:t>
      </w:r>
    </w:p>
    <w:p>
      <w:pPr/>
      <w:r>
        <w:t>不确定性量化：法规摘要可以不确定，闸门判定必须确定。</w:t>
      </w:r>
    </w:p>
    <w:p>
      <w:pPr/>
      <w:r>
        <w:t>（3）推演结果要素</w:t>
      </w:r>
    </w:p>
    <w:p>
      <w:pPr/>
      <w:r>
        <w:t>完整的推演结果需要同时描述影响对象、影响方向、影响强度、传导时滞、持续时间、不确定性及可采取的应对措施。这些要素共同构成对一次申报影响的完整刻画。</w:t>
      </w:r>
    </w:p>
    <w:p>
      <w:pPr>
        <w:pStyle w:val="31"/>
      </w:pPr>
      <w:r>
        <w:t>路径生成与筛选</w:t>
      </w:r>
    </w:p>
    <w:p>
      <w:pPr/>
      <w:r>
        <w:t>从初始事件出发可以生成很多条可能路径，但并不是所有路径都同等重要。需要通过筛选机制，识别出对审批决策有实际意义的主要路径。</w:t>
      </w:r>
    </w:p>
    <w:p>
      <w:pPr/>
      <w:r>
        <w:t>（1）确定直接节点</w:t>
      </w:r>
    </w:p>
    <w:p>
      <w:pPr/>
      <w:r>
        <w:t>根据事件类型识别首先变化的金额、设备、城市或并行上限。金额事件首先影响权限链，设备事件首先影响合规链。</w:t>
      </w:r>
    </w:p>
    <w:p>
      <w:pPr/>
      <w:r>
        <w:t>（2）生成候选路径</w:t>
      </w:r>
    </w:p>
    <w:p>
      <w:pPr/>
      <w:r>
        <w:t>沿权限、合规和容量关系向后扩展，形成短链、长链、含合规链和含缺件阻断链等候选。</w:t>
      </w:r>
    </w:p>
    <w:p>
      <w:pPr/>
      <w:r>
        <w:t>（3）检查成立条件</w:t>
      </w:r>
    </w:p>
    <w:p>
      <w:pPr/>
      <w:r>
        <w:t>检验否定句、报备句、制度是否写明门槛、部门是否为真实实体。不满足条件的路径予以排除。</w:t>
      </w:r>
    </w:p>
    <w:p>
      <w:pPr/>
      <w:r>
        <w:t>（4）量化路径影响</w:t>
      </w:r>
    </w:p>
    <w:p>
      <w:pPr/>
      <w:r>
        <w:t>估计方向、强度、时滞和可信度。例如过线增加两级审定，缺件至少增加一个不可跳过的停滞。</w:t>
      </w:r>
    </w:p>
    <w:p>
      <w:pPr/>
      <w:r>
        <w:t>（5）形成路径组合</w:t>
      </w:r>
    </w:p>
    <w:p>
      <w:pPr/>
      <w:r>
        <w:t>主路径：影响最大、条件最直接的路径，是分析和决策的重点。</w:t>
      </w:r>
    </w:p>
    <w:p>
      <w:pPr/>
      <w:r>
        <w:t>次要路径：影响较小的日常事项底稿扩展。</w:t>
      </w:r>
    </w:p>
    <w:p>
      <w:pPr/>
      <w:r>
        <w:t>条件性路径：仅在核心城区或制度写明门槛时成立。</w:t>
      </w:r>
    </w:p>
    <w:p>
      <w:pPr/>
      <w:r>
        <w:t>极端风险路径：高额、限制区域、缺件和部门饱和同时出现，需要进行对照和应急补件。</w:t>
      </w:r>
    </w:p>
    <w:p>
      <w:pPr>
        <w:pStyle w:val="1"/>
      </w:pPr>
      <w:r>
        <w:t>典型业务应用场景</w:t>
      </w:r>
    </w:p>
    <w:p>
      <w:pPr/>
      <w:r>
        <w:t>公司OA审批智能体可广泛应用于组织的立项安排、合规控制和负荷管理，以下是典型的业务应用场景：</w:t>
      </w:r>
    </w:p>
    <w:p>
      <w:pPr>
        <w:pStyle w:val="a7"/>
      </w:pPr>
      <w:r>
        <w:t>表  典型业务应用场景及价值</w:t>
      </w:r>
    </w:p>
    <w:tbl>
      <w:tblPr>
        <w:tblStyle w:val="af4"/>
        <w:tblW w:type="auto" w:w="0"/>
        <w:tblLayout w:type="autofit"/>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黑体"/>
                <w:b/>
                <w:sz w:val="21"/>
              </w:rPr>
              <w:t>应用场景</w:t>
            </w:r>
          </w:p>
        </w:tc>
        <w:tc>
          <w:tcPr>
            <w:tcW w:type="dxa" w:w="2160"/>
          </w:tcPr>
          <w:p>
            <w:r>
              <w:rPr>
                <w:rFonts w:ascii="Times New Roman" w:hAnsi="Times New Roman" w:eastAsia="黑体"/>
                <w:b/>
                <w:sz w:val="21"/>
              </w:rPr>
              <w:t>核心功能</w:t>
            </w:r>
          </w:p>
        </w:tc>
        <w:tc>
          <w:tcPr>
            <w:tcW w:type="dxa" w:w="2160"/>
          </w:tcPr>
          <w:p>
            <w:r>
              <w:rPr>
                <w:rFonts w:ascii="Times New Roman" w:hAnsi="Times New Roman" w:eastAsia="黑体"/>
                <w:b/>
                <w:sz w:val="21"/>
              </w:rPr>
              <w:t>使用部门</w:t>
            </w:r>
          </w:p>
        </w:tc>
        <w:tc>
          <w:tcPr>
            <w:tcW w:type="dxa" w:w="2160"/>
          </w:tcPr>
          <w:p>
            <w:r>
              <w:rPr>
                <w:rFonts w:ascii="Times New Roman" w:hAnsi="Times New Roman" w:eastAsia="黑体"/>
                <w:b/>
                <w:sz w:val="21"/>
              </w:rPr>
              <w:t>价值体现</w:t>
            </w:r>
          </w:p>
        </w:tc>
      </w:tr>
      <w:tr>
        <w:tc>
          <w:tcPr>
            <w:tcW w:type="dxa" w:w="2160"/>
          </w:tcPr>
          <w:p>
            <w:r>
              <w:rPr>
                <w:rFonts w:ascii="Times New Roman" w:hAnsi="Times New Roman" w:eastAsia="宋体"/>
                <w:sz w:val="21"/>
              </w:rPr>
              <w:t>城区低空航拍立项</w:t>
            </w:r>
          </w:p>
        </w:tc>
        <w:tc>
          <w:tcPr>
            <w:tcW w:type="dxa" w:w="2160"/>
          </w:tcPr>
          <w:p>
            <w:r>
              <w:rPr>
                <w:rFonts w:ascii="Times New Roman" w:hAnsi="Times New Roman" w:eastAsia="宋体"/>
                <w:sz w:val="21"/>
              </w:rPr>
              <w:t>按单生成长链并合规闸门</w:t>
            </w:r>
          </w:p>
        </w:tc>
        <w:tc>
          <w:tcPr>
            <w:tcW w:type="dxa" w:w="2160"/>
          </w:tcPr>
          <w:p>
            <w:r>
              <w:rPr>
                <w:rFonts w:ascii="Times New Roman" w:hAnsi="Times New Roman" w:eastAsia="宋体"/>
                <w:sz w:val="21"/>
              </w:rPr>
              <w:t>业务、合规、管理层</w:t>
            </w:r>
          </w:p>
        </w:tc>
        <w:tc>
          <w:tcPr>
            <w:tcW w:type="dxa" w:w="2160"/>
          </w:tcPr>
          <w:p>
            <w:r>
              <w:rPr>
                <w:rFonts w:ascii="Times New Roman" w:hAnsi="Times New Roman" w:eastAsia="宋体"/>
                <w:sz w:val="21"/>
              </w:rPr>
              <w:t>把当地限制前置到提交当时</w:t>
            </w:r>
          </w:p>
        </w:tc>
      </w:tr>
      <w:tr>
        <w:tc>
          <w:tcPr>
            <w:tcW w:type="dxa" w:w="2160"/>
          </w:tcPr>
          <w:p>
            <w:r>
              <w:rPr>
                <w:rFonts w:ascii="Times New Roman" w:hAnsi="Times New Roman" w:eastAsia="宋体"/>
                <w:sz w:val="21"/>
              </w:rPr>
              <w:t>内部小工具立项</w:t>
            </w:r>
          </w:p>
        </w:tc>
        <w:tc>
          <w:tcPr>
            <w:tcW w:type="dxa" w:w="2160"/>
          </w:tcPr>
          <w:p>
            <w:r>
              <w:rPr>
                <w:rFonts w:ascii="Times New Roman" w:hAnsi="Times New Roman" w:eastAsia="宋体"/>
                <w:sz w:val="21"/>
              </w:rPr>
              <w:t>生成短链且不插入合规</w:t>
            </w:r>
          </w:p>
        </w:tc>
        <w:tc>
          <w:tcPr>
            <w:tcW w:type="dxa" w:w="2160"/>
          </w:tcPr>
          <w:p>
            <w:r>
              <w:rPr>
                <w:rFonts w:ascii="Times New Roman" w:hAnsi="Times New Roman" w:eastAsia="宋体"/>
                <w:sz w:val="21"/>
              </w:rPr>
              <w:t>业务部门</w:t>
            </w:r>
          </w:p>
        </w:tc>
        <w:tc>
          <w:tcPr>
            <w:tcW w:type="dxa" w:w="2160"/>
          </w:tcPr>
          <w:p>
            <w:r>
              <w:rPr>
                <w:rFonts w:ascii="Times New Roman" w:hAnsi="Times New Roman" w:eastAsia="宋体"/>
                <w:sz w:val="21"/>
              </w:rPr>
              <w:t>证明路径随申报分化</w:t>
            </w:r>
          </w:p>
        </w:tc>
      </w:tr>
      <w:tr>
        <w:tc>
          <w:tcPr>
            <w:tcW w:type="dxa" w:w="2160"/>
          </w:tcPr>
          <w:p>
            <w:r>
              <w:rPr>
                <w:rFonts w:ascii="Times New Roman" w:hAnsi="Times New Roman" w:eastAsia="宋体"/>
                <w:sz w:val="21"/>
              </w:rPr>
              <w:t>并行工作数修订</w:t>
            </w:r>
          </w:p>
        </w:tc>
        <w:tc>
          <w:tcPr>
            <w:tcW w:type="dxa" w:w="2160"/>
          </w:tcPr>
          <w:p>
            <w:r>
              <w:rPr>
                <w:rFonts w:ascii="Times New Roman" w:hAnsi="Times New Roman" w:eastAsia="宋体"/>
                <w:sz w:val="21"/>
              </w:rPr>
              <w:t>制度学习写回日历</w:t>
            </w:r>
          </w:p>
        </w:tc>
        <w:tc>
          <w:tcPr>
            <w:tcW w:type="dxa" w:w="2160"/>
          </w:tcPr>
          <w:p>
            <w:r>
              <w:rPr>
                <w:rFonts w:ascii="Times New Roman" w:hAnsi="Times New Roman" w:eastAsia="宋体"/>
                <w:sz w:val="21"/>
              </w:rPr>
              <w:t>行政、研发</w:t>
            </w:r>
          </w:p>
        </w:tc>
        <w:tc>
          <w:tcPr>
            <w:tcW w:type="dxa" w:w="2160"/>
          </w:tcPr>
          <w:p>
            <w:r>
              <w:rPr>
                <w:rFonts w:ascii="Times New Roman" w:hAnsi="Times New Roman" w:eastAsia="宋体"/>
                <w:sz w:val="21"/>
              </w:rPr>
              <w:t>验证制度真正进入容量计算</w:t>
            </w:r>
          </w:p>
        </w:tc>
      </w:tr>
      <w:tr>
        <w:tc>
          <w:tcPr>
            <w:tcW w:type="dxa" w:w="2160"/>
          </w:tcPr>
          <w:p>
            <w:r>
              <w:rPr>
                <w:rFonts w:ascii="Times New Roman" w:hAnsi="Times New Roman" w:eastAsia="宋体"/>
                <w:sz w:val="21"/>
              </w:rPr>
              <w:t>材料补充解卡</w:t>
            </w:r>
          </w:p>
        </w:tc>
        <w:tc>
          <w:tcPr>
            <w:tcW w:type="dxa" w:w="2160"/>
          </w:tcPr>
          <w:p>
            <w:r>
              <w:rPr>
                <w:rFonts w:ascii="Times New Roman" w:hAnsi="Times New Roman" w:eastAsia="宋体"/>
                <w:sz w:val="21"/>
              </w:rPr>
              <w:t>缺件重审</w:t>
            </w:r>
          </w:p>
        </w:tc>
        <w:tc>
          <w:tcPr>
            <w:tcW w:type="dxa" w:w="2160"/>
          </w:tcPr>
          <w:p>
            <w:r>
              <w:rPr>
                <w:rFonts w:ascii="Times New Roman" w:hAnsi="Times New Roman" w:eastAsia="宋体"/>
                <w:sz w:val="21"/>
              </w:rPr>
              <w:t>申报人、合规</w:t>
            </w:r>
          </w:p>
        </w:tc>
        <w:tc>
          <w:tcPr>
            <w:tcW w:type="dxa" w:w="2160"/>
          </w:tcPr>
          <w:p>
            <w:r>
              <w:rPr>
                <w:rFonts w:ascii="Times New Roman" w:hAnsi="Times New Roman" w:eastAsia="宋体"/>
                <w:sz w:val="21"/>
              </w:rPr>
              <w:t>形成补件闭环</w:t>
            </w:r>
          </w:p>
        </w:tc>
      </w:tr>
      <w:tr>
        <w:tc>
          <w:tcPr>
            <w:tcW w:type="dxa" w:w="2160"/>
          </w:tcPr>
          <w:p>
            <w:r>
              <w:rPr>
                <w:rFonts w:ascii="Times New Roman" w:hAnsi="Times New Roman" w:eastAsia="宋体"/>
                <w:sz w:val="21"/>
              </w:rPr>
              <w:t>项目群监控</w:t>
            </w:r>
          </w:p>
        </w:tc>
        <w:tc>
          <w:tcPr>
            <w:tcW w:type="dxa" w:w="2160"/>
          </w:tcPr>
          <w:p>
            <w:r>
              <w:rPr>
                <w:rFonts w:ascii="Times New Roman" w:hAnsi="Times New Roman" w:eastAsia="宋体"/>
                <w:sz w:val="21"/>
              </w:rPr>
              <w:t>清单与停滞解释</w:t>
            </w:r>
          </w:p>
        </w:tc>
        <w:tc>
          <w:tcPr>
            <w:tcW w:type="dxa" w:w="2160"/>
          </w:tcPr>
          <w:p>
            <w:r>
              <w:rPr>
                <w:rFonts w:ascii="Times New Roman" w:hAnsi="Times New Roman" w:eastAsia="宋体"/>
                <w:sz w:val="21"/>
              </w:rPr>
              <w:t>管理层</w:t>
            </w:r>
          </w:p>
        </w:tc>
        <w:tc>
          <w:tcPr>
            <w:tcW w:type="dxa" w:w="2160"/>
          </w:tcPr>
          <w:p>
            <w:r>
              <w:rPr>
                <w:rFonts w:ascii="Times New Roman" w:hAnsi="Times New Roman" w:eastAsia="宋体"/>
                <w:sz w:val="21"/>
              </w:rPr>
              <w:t>从节点名称进入原因分析</w:t>
            </w:r>
          </w:p>
        </w:tc>
      </w:tr>
      <w:tr>
        <w:tc>
          <w:tcPr>
            <w:tcW w:type="dxa" w:w="2160"/>
          </w:tcPr>
          <w:p>
            <w:r>
              <w:rPr>
                <w:rFonts w:ascii="Times New Roman" w:hAnsi="Times New Roman" w:eastAsia="宋体"/>
                <w:sz w:val="21"/>
              </w:rPr>
              <w:t>日常报销采购</w:t>
            </w:r>
          </w:p>
        </w:tc>
        <w:tc>
          <w:tcPr>
            <w:tcW w:type="dxa" w:w="2160"/>
          </w:tcPr>
          <w:p>
            <w:r>
              <w:rPr>
                <w:rFonts w:ascii="Times New Roman" w:hAnsi="Times New Roman" w:eastAsia="宋体"/>
                <w:sz w:val="21"/>
              </w:rPr>
              <w:t>职能底稿加本单扩展</w:t>
            </w:r>
          </w:p>
        </w:tc>
        <w:tc>
          <w:tcPr>
            <w:tcW w:type="dxa" w:w="2160"/>
          </w:tcPr>
          <w:p>
            <w:r>
              <w:rPr>
                <w:rFonts w:ascii="Times New Roman" w:hAnsi="Times New Roman" w:eastAsia="宋体"/>
                <w:sz w:val="21"/>
              </w:rPr>
              <w:t>财务、采购</w:t>
            </w:r>
          </w:p>
        </w:tc>
        <w:tc>
          <w:tcPr>
            <w:tcW w:type="dxa" w:w="2160"/>
          </w:tcPr>
          <w:p>
            <w:r>
              <w:rPr>
                <w:rFonts w:ascii="Times New Roman" w:hAnsi="Times New Roman" w:eastAsia="宋体"/>
                <w:sz w:val="21"/>
              </w:rPr>
              <w:t>保留高频事项稳定性</w:t>
            </w:r>
          </w:p>
        </w:tc>
      </w:tr>
      <w:tr>
        <w:tc>
          <w:tcPr>
            <w:tcW w:type="dxa" w:w="2160"/>
          </w:tcPr>
          <w:p>
            <w:r>
              <w:rPr>
                <w:rFonts w:ascii="Times New Roman" w:hAnsi="Times New Roman" w:eastAsia="宋体"/>
                <w:sz w:val="21"/>
              </w:rPr>
              <w:t>跨城特种作业</w:t>
            </w:r>
          </w:p>
        </w:tc>
        <w:tc>
          <w:tcPr>
            <w:tcW w:type="dxa" w:w="2160"/>
          </w:tcPr>
          <w:p>
            <w:r>
              <w:rPr>
                <w:rFonts w:ascii="Times New Roman" w:hAnsi="Times New Roman" w:eastAsia="宋体"/>
                <w:sz w:val="21"/>
              </w:rPr>
              <w:t>城市×设备限制检索</w:t>
            </w:r>
          </w:p>
        </w:tc>
        <w:tc>
          <w:tcPr>
            <w:tcW w:type="dxa" w:w="2160"/>
          </w:tcPr>
          <w:p>
            <w:r>
              <w:rPr>
                <w:rFonts w:ascii="Times New Roman" w:hAnsi="Times New Roman" w:eastAsia="宋体"/>
                <w:sz w:val="21"/>
              </w:rPr>
              <w:t>法务、项目</w:t>
            </w:r>
          </w:p>
        </w:tc>
        <w:tc>
          <w:tcPr>
            <w:tcW w:type="dxa" w:w="2160"/>
          </w:tcPr>
          <w:p>
            <w:r>
              <w:rPr>
                <w:rFonts w:ascii="Times New Roman" w:hAnsi="Times New Roman" w:eastAsia="宋体"/>
                <w:sz w:val="21"/>
              </w:rPr>
              <w:t>解释不同城市的报备差异</w:t>
            </w:r>
          </w:p>
        </w:tc>
      </w:tr>
      <w:tr>
        <w:tc>
          <w:tcPr>
            <w:tcW w:type="dxa" w:w="2160"/>
          </w:tcPr>
          <w:p>
            <w:r>
              <w:rPr>
                <w:rFonts w:ascii="Times New Roman" w:hAnsi="Times New Roman" w:eastAsia="宋体"/>
                <w:sz w:val="21"/>
              </w:rPr>
              <w:t>部门饱和预警</w:t>
            </w:r>
          </w:p>
        </w:tc>
        <w:tc>
          <w:tcPr>
            <w:tcW w:type="dxa" w:w="2160"/>
          </w:tcPr>
          <w:p>
            <w:r>
              <w:rPr>
                <w:rFonts w:ascii="Times New Roman" w:hAnsi="Times New Roman" w:eastAsia="宋体"/>
                <w:sz w:val="21"/>
              </w:rPr>
              <w:t>并行占用与延迟</w:t>
            </w:r>
          </w:p>
        </w:tc>
        <w:tc>
          <w:tcPr>
            <w:tcW w:type="dxa" w:w="2160"/>
          </w:tcPr>
          <w:p>
            <w:r>
              <w:rPr>
                <w:rFonts w:ascii="Times New Roman" w:hAnsi="Times New Roman" w:eastAsia="宋体"/>
                <w:sz w:val="21"/>
              </w:rPr>
              <w:t>综合管理</w:t>
            </w:r>
          </w:p>
        </w:tc>
        <w:tc>
          <w:tcPr>
            <w:tcW w:type="dxa" w:w="2160"/>
          </w:tcPr>
          <w:p>
            <w:r>
              <w:rPr>
                <w:rFonts w:ascii="Times New Roman" w:hAnsi="Times New Roman" w:eastAsia="宋体"/>
                <w:sz w:val="21"/>
              </w:rPr>
              <w:t>把忙闲变成可计算指标</w:t>
            </w:r>
          </w:p>
        </w:tc>
      </w:tr>
    </w:tbl>
    <w:p>
      <w:pPr/>
    </w:p>
    <w:p>
      <w:pPr/>
      <w:r>
        <w:t>以上场景覆盖了审批经营管理的主要方面。为了验证外部制度与申报信号传导分析范式的可行性，本章选取两个典型场景进行案例分析：城区低空无人机航拍测绘立项，以及规章制度并行工作数调整。两个案例分别代表审批领域中较为常见的申报型冲击和制度型冲击，能够从不同角度验证分析范式的适用性。</w:t>
      </w:r>
    </w:p>
    <w:p>
      <w:pPr>
        <w:pStyle w:val="21"/>
      </w:pPr>
      <w:r>
        <w:t>城区低空无人机航拍测绘立项</w:t>
      </w:r>
    </w:p>
    <w:p>
      <w:pPr>
        <w:pStyle w:val="31"/>
      </w:pPr>
      <w:r>
        <w:t>场景描述</w:t>
      </w:r>
    </w:p>
    <w:p>
      <w:pPr/>
      <w:r>
        <w:t>假设业务部门提交一份城区低空无人机航拍测绘立项，申报金额明显高于日常内部事项，作业地写明北京中心城区，设备为无人机，且首次提交时未附飞行活动申请和空域批准。对于需要跨部门审核并涉及当地限制的组织而言，该申报会首先影响权限层级和合规审查，随后向缺件停滞、部门占用、计划完成日期及清单风险逐级传导。</w:t>
      </w:r>
    </w:p>
    <w:p>
      <w:pPr>
        <w:pStyle w:val="31"/>
      </w:pPr>
      <w:r>
        <w:t>影响的复杂性</w:t>
      </w:r>
    </w:p>
    <w:p>
      <w:pPr/>
      <w:r>
        <w:t>该事件看似只是一次立项提交，但其对审批过程的实际影响并不是单一方向的。高额会增加总经理和董事长，无人机插入合规审查，中心城区使限制加严，缺件则把流程卡住。最终表现为长链、阻断还是可流转，取决于金额是否过线、是否真正使用无人机、城市是否在限制区域、附件是否齐备以及承办部门是否饱和等多种因素。</w:t>
      </w:r>
    </w:p>
    <w:p>
      <w:pPr>
        <w:pStyle w:val="31"/>
      </w:pPr>
      <w:r>
        <w:t>总体信号传导路径</w:t>
      </w:r>
    </w:p>
    <w:p>
      <w:pPr/>
      <w:r>
        <w:t>提交城区航拍立项→抽取金额、城市、设备和报备状态→金额达到示例或制度门槛→增加总经理、董事长→识别无人机且无否定句→插入合规审查→读取中心城区限制→未附报备材料→停滞在合规节点→清单显示缺件→补传飞行活动申请和空域批准→缺件解除→流程继续并向部门容量传导</w:t>
      </w:r>
    </w:p>
    <w:p>
      <w:pPr>
        <w:pStyle w:val="31"/>
      </w:pPr>
      <w:r>
        <w:t>多阶影响分析</w:t>
      </w:r>
    </w:p>
    <w:p>
      <w:pPr/>
      <w:r>
        <w:t>一阶影响：审批层级上升。金额过线后，企业最先受到影响的是权限链。部门经理之后增加总经理审批和董事长审定，节点数量和计划周期明显长于低额立项。</w:t>
      </w:r>
    </w:p>
    <w:p>
      <w:pPr/>
      <w:r>
        <w:t>二阶影响：合规节点出现。设备识别成立后，影响进一步传导至法务或合规岗位。审查不再是备注里的提醒，而是路径上不可跳过的环节。</w:t>
      </w:r>
    </w:p>
    <w:p>
      <w:pPr/>
      <w:r>
        <w:t>三阶影响：缺件阻断。未附报备材料时，流程不能因为“文已经提交”而继续下传。停滞码和原因进入清单，形成对申报人可见的闸门。</w:t>
      </w:r>
    </w:p>
    <w:p>
      <w:pPr/>
      <w:r>
        <w:t>四阶影响：法规解释进入方案。联网或本地限制知识对中心城区给出更严表述，帮助审批人理解为何必须补件，而不是只看到一个拒绝状态。</w:t>
      </w:r>
    </w:p>
    <w:p>
      <w:pPr/>
      <w:r>
        <w:t>五阶影响：负荷与周期变化。一旦解卡，长链占用多个岗位时限，若承办部门并行上限较低，还可能叠加过载延迟。</w:t>
      </w:r>
    </w:p>
    <w:p>
      <w:pPr/>
      <w:r>
        <w:t>反馈影响：材料补充反向调节。申报人补传关键附件后，缺件集合被重算，闸门解除，后续影响转为正常流转和容量占用。企业并不是被动接受一次失败提交，而是通过补件改变路径结果。</w:t>
      </w:r>
    </w:p>
    <w:p>
      <w:pPr>
        <w:pStyle w:val="21"/>
      </w:pPr>
      <w:r>
        <w:t>规章制度并行工作数调整</w:t>
      </w:r>
    </w:p>
    <w:p>
      <w:pPr>
        <w:pStyle w:val="31"/>
      </w:pPr>
      <w:r>
        <w:t>场景描述</w:t>
      </w:r>
    </w:p>
    <w:p>
      <w:pPr/>
      <w:r>
        <w:t>假设组织修订规章制度，将某承办部门的建议并行工作数由较宽松的数值调整为更严格的上限，例如研发部建议并行工作数为1，并以PDF形式重新进入制度库。该变化并不直接改写某一单的节点名称，但会改变部门日历的容量约束，进而影响在办事项的负荷等级和延迟解释。</w:t>
      </w:r>
    </w:p>
    <w:p>
      <w:pPr>
        <w:pStyle w:val="31"/>
      </w:pPr>
      <w:r>
        <w:t>影响的复杂性</w:t>
      </w:r>
    </w:p>
    <w:p>
      <w:pPr/>
      <w:r>
        <w:t>与无人机立项相比，制度修订的影响更加隐蔽。它不一定增加新的审批岗位，却可能使原来可以并行处理的事项变为必须排队。因此，该事件具有“条款变化与在办占用并存、路径不变而容量变、结果依赖是否把生成路径计入负荷”等特点。</w:t>
      </w:r>
    </w:p>
    <w:p>
      <w:pPr>
        <w:pStyle w:val="31"/>
      </w:pPr>
      <w:r>
        <w:t>总体信号传导路径</w:t>
      </w:r>
    </w:p>
    <w:p>
      <w:pPr/>
      <w:r>
        <w:t>制度修订通常通过容量侧路径影响企业，并与在办申报路径汇合，共同影响清单中的延迟解释。</w:t>
      </w:r>
    </w:p>
    <w:p>
      <w:pPr/>
      <w:r>
        <w:t>容量侧路径：管理办法写明并行工作数→制度学习抽取部门与上限→写回部门主数据→日历刷新→占用相对于新上限重新分级→饱和时输出额外工作日延迟</w:t>
      </w:r>
    </w:p>
    <w:p>
      <w:pPr/>
      <w:r>
        <w:t>在办侧路径：已生成或新提交的事项占用该部门当前环节→计入负荷→与新的上限比较→忙闲状态变化→停滞诊断由容量原因解释</w:t>
      </w:r>
    </w:p>
    <w:p>
      <w:pPr>
        <w:pStyle w:val="31"/>
      </w:pPr>
      <w:r>
        <w:t>多阶影响分析</w:t>
      </w:r>
    </w:p>
    <w:p>
      <w:pPr/>
      <w:r>
        <w:t>一阶影响：部门上限变化。制度学习后，日历上的并行容量应立即反映新的条款，而不是继续沿用旧配置。</w:t>
      </w:r>
    </w:p>
    <w:p>
      <w:pPr/>
      <w:r>
        <w:t>二阶影响：负荷等级切换。在办占用不变时，上限下降会把相对空闲转为忙碌或饱和。</w:t>
      </w:r>
    </w:p>
    <w:p>
      <w:pPr/>
      <w:r>
        <w:t>三阶影响：延迟被解释。饱和后，清单不再只显示“审核中”，而是说明关键岗位忙碌或事项过多。</w:t>
      </w:r>
    </w:p>
    <w:p>
      <w:pPr/>
      <w:r>
        <w:t>四阶影响：路径与容量解耦被验证。节点构成可以不变，经营侧结果仍然变化，说明分析中心处理的是真实约束而不是静态流程图。</w:t>
      </w:r>
    </w:p>
    <w:p>
      <w:pPr/>
      <w:r>
        <w:t>五阶影响：后续申报的安排改变。业务部门看到容量收紧后，可能调整提交节奏或补充人力安排。</w:t>
      </w:r>
    </w:p>
    <w:p>
      <w:pPr/>
      <w:r>
        <w:t>六阶影响：制度资产积累。每次可验证的“改PDF、变日历”都强化制度作为可执行知识的地位，减少口头传达并行口径的空间。</w:t>
      </w:r>
    </w:p>
    <w:p>
      <w:pPr>
        <w:pStyle w:val="31"/>
      </w:pPr>
      <w:r>
        <w:t>两类场景对比</w:t>
      </w:r>
    </w:p>
    <w:p>
      <w:pPr>
        <w:pStyle w:val="a7"/>
      </w:pPr>
      <w:r>
        <w:t>表  城区无人机立项与并行工作数调整场景对比</w:t>
      </w:r>
    </w:p>
    <w:tbl>
      <w:tblPr>
        <w:tblStyle w:val="af4"/>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对比维度</w:t>
            </w:r>
          </w:p>
        </w:tc>
        <w:tc>
          <w:tcPr>
            <w:tcW w:type="dxa" w:w="2880"/>
          </w:tcPr>
          <w:p>
            <w:r>
              <w:rPr>
                <w:rFonts w:ascii="Times New Roman" w:hAnsi="Times New Roman" w:eastAsia="黑体"/>
                <w:b/>
                <w:sz w:val="21"/>
              </w:rPr>
              <w:t>城区低空无人机航拍测绘立项</w:t>
            </w:r>
          </w:p>
        </w:tc>
        <w:tc>
          <w:tcPr>
            <w:tcW w:type="dxa" w:w="2880"/>
          </w:tcPr>
          <w:p>
            <w:r>
              <w:rPr>
                <w:rFonts w:ascii="Times New Roman" w:hAnsi="Times New Roman" w:eastAsia="黑体"/>
                <w:b/>
                <w:sz w:val="21"/>
              </w:rPr>
              <w:t>规章制度并行工作数调整</w:t>
            </w:r>
          </w:p>
        </w:tc>
      </w:tr>
      <w:tr>
        <w:tc>
          <w:tcPr>
            <w:tcW w:type="dxa" w:w="2880"/>
          </w:tcPr>
          <w:p>
            <w:r>
              <w:rPr>
                <w:rFonts w:ascii="Times New Roman" w:hAnsi="Times New Roman" w:eastAsia="宋体"/>
                <w:sz w:val="21"/>
              </w:rPr>
              <w:t>冲击类型</w:t>
            </w:r>
          </w:p>
        </w:tc>
        <w:tc>
          <w:tcPr>
            <w:tcW w:type="dxa" w:w="2880"/>
          </w:tcPr>
          <w:p>
            <w:r>
              <w:rPr>
                <w:rFonts w:ascii="Times New Roman" w:hAnsi="Times New Roman" w:eastAsia="宋体"/>
                <w:sz w:val="21"/>
              </w:rPr>
              <w:t>申报型冲击</w:t>
            </w:r>
          </w:p>
        </w:tc>
        <w:tc>
          <w:tcPr>
            <w:tcW w:type="dxa" w:w="2880"/>
          </w:tcPr>
          <w:p>
            <w:r>
              <w:rPr>
                <w:rFonts w:ascii="Times New Roman" w:hAnsi="Times New Roman" w:eastAsia="宋体"/>
                <w:sz w:val="21"/>
              </w:rPr>
              <w:t>制度型冲击</w:t>
            </w:r>
          </w:p>
        </w:tc>
      </w:tr>
      <w:tr>
        <w:tc>
          <w:tcPr>
            <w:tcW w:type="dxa" w:w="2880"/>
          </w:tcPr>
          <w:p>
            <w:r>
              <w:rPr>
                <w:rFonts w:ascii="Times New Roman" w:hAnsi="Times New Roman" w:eastAsia="宋体"/>
                <w:sz w:val="21"/>
              </w:rPr>
              <w:t>直接作用点</w:t>
            </w:r>
          </w:p>
        </w:tc>
        <w:tc>
          <w:tcPr>
            <w:tcW w:type="dxa" w:w="2880"/>
          </w:tcPr>
          <w:p>
            <w:r>
              <w:rPr>
                <w:rFonts w:ascii="Times New Roman" w:hAnsi="Times New Roman" w:eastAsia="宋体"/>
                <w:sz w:val="21"/>
              </w:rPr>
              <w:t>金额、设备、城市、附件</w:t>
            </w:r>
          </w:p>
        </w:tc>
        <w:tc>
          <w:tcPr>
            <w:tcW w:type="dxa" w:w="2880"/>
          </w:tcPr>
          <w:p>
            <w:r>
              <w:rPr>
                <w:rFonts w:ascii="Times New Roman" w:hAnsi="Times New Roman" w:eastAsia="宋体"/>
                <w:sz w:val="21"/>
              </w:rPr>
              <w:t>部门并行上限</w:t>
            </w:r>
          </w:p>
        </w:tc>
      </w:tr>
      <w:tr>
        <w:tc>
          <w:tcPr>
            <w:tcW w:type="dxa" w:w="2880"/>
          </w:tcPr>
          <w:p>
            <w:r>
              <w:rPr>
                <w:rFonts w:ascii="Times New Roman" w:hAnsi="Times New Roman" w:eastAsia="宋体"/>
                <w:sz w:val="21"/>
              </w:rPr>
              <w:t>一阶结果</w:t>
            </w:r>
          </w:p>
        </w:tc>
        <w:tc>
          <w:tcPr>
            <w:tcW w:type="dxa" w:w="2880"/>
          </w:tcPr>
          <w:p>
            <w:r>
              <w:rPr>
                <w:rFonts w:ascii="Times New Roman" w:hAnsi="Times New Roman" w:eastAsia="宋体"/>
                <w:sz w:val="21"/>
              </w:rPr>
              <w:t>长链+合规节点</w:t>
            </w:r>
          </w:p>
        </w:tc>
        <w:tc>
          <w:tcPr>
            <w:tcW w:type="dxa" w:w="2880"/>
          </w:tcPr>
          <w:p>
            <w:r>
              <w:rPr>
                <w:rFonts w:ascii="Times New Roman" w:hAnsi="Times New Roman" w:eastAsia="宋体"/>
                <w:sz w:val="21"/>
              </w:rPr>
              <w:t>日历容量变化</w:t>
            </w:r>
          </w:p>
        </w:tc>
      </w:tr>
      <w:tr>
        <w:tc>
          <w:tcPr>
            <w:tcW w:type="dxa" w:w="2880"/>
          </w:tcPr>
          <w:p>
            <w:r>
              <w:rPr>
                <w:rFonts w:ascii="Times New Roman" w:hAnsi="Times New Roman" w:eastAsia="宋体"/>
                <w:sz w:val="21"/>
              </w:rPr>
              <w:t>关键闸门</w:t>
            </w:r>
          </w:p>
        </w:tc>
        <w:tc>
          <w:tcPr>
            <w:tcW w:type="dxa" w:w="2880"/>
          </w:tcPr>
          <w:p>
            <w:r>
              <w:rPr>
                <w:rFonts w:ascii="Times New Roman" w:hAnsi="Times New Roman" w:eastAsia="宋体"/>
                <w:sz w:val="21"/>
              </w:rPr>
              <w:t>缺件卡住</w:t>
            </w:r>
          </w:p>
        </w:tc>
        <w:tc>
          <w:tcPr>
            <w:tcW w:type="dxa" w:w="2880"/>
          </w:tcPr>
          <w:p>
            <w:r>
              <w:rPr>
                <w:rFonts w:ascii="Times New Roman" w:hAnsi="Times New Roman" w:eastAsia="宋体"/>
                <w:sz w:val="21"/>
              </w:rPr>
              <w:t>饱和延迟</w:t>
            </w:r>
          </w:p>
        </w:tc>
      </w:tr>
      <w:tr>
        <w:tc>
          <w:tcPr>
            <w:tcW w:type="dxa" w:w="2880"/>
          </w:tcPr>
          <w:p>
            <w:r>
              <w:rPr>
                <w:rFonts w:ascii="Times New Roman" w:hAnsi="Times New Roman" w:eastAsia="宋体"/>
                <w:sz w:val="21"/>
              </w:rPr>
              <w:t>是否改变节点名称</w:t>
            </w:r>
          </w:p>
        </w:tc>
        <w:tc>
          <w:tcPr>
            <w:tcW w:type="dxa" w:w="2880"/>
          </w:tcPr>
          <w:p>
            <w:r>
              <w:rPr>
                <w:rFonts w:ascii="Times New Roman" w:hAnsi="Times New Roman" w:eastAsia="宋体"/>
                <w:sz w:val="21"/>
              </w:rPr>
              <w:t>是</w:t>
            </w:r>
          </w:p>
        </w:tc>
        <w:tc>
          <w:tcPr>
            <w:tcW w:type="dxa" w:w="2880"/>
          </w:tcPr>
          <w:p>
            <w:r>
              <w:rPr>
                <w:rFonts w:ascii="Times New Roman" w:hAnsi="Times New Roman" w:eastAsia="宋体"/>
                <w:sz w:val="21"/>
              </w:rPr>
              <w:t>通常否</w:t>
            </w:r>
          </w:p>
        </w:tc>
      </w:tr>
      <w:tr>
        <w:tc>
          <w:tcPr>
            <w:tcW w:type="dxa" w:w="2880"/>
          </w:tcPr>
          <w:p>
            <w:r>
              <w:rPr>
                <w:rFonts w:ascii="Times New Roman" w:hAnsi="Times New Roman" w:eastAsia="宋体"/>
                <w:sz w:val="21"/>
              </w:rPr>
              <w:t>反馈方式</w:t>
            </w:r>
          </w:p>
        </w:tc>
        <w:tc>
          <w:tcPr>
            <w:tcW w:type="dxa" w:w="2880"/>
          </w:tcPr>
          <w:p>
            <w:r>
              <w:rPr>
                <w:rFonts w:ascii="Times New Roman" w:hAnsi="Times New Roman" w:eastAsia="宋体"/>
                <w:sz w:val="21"/>
              </w:rPr>
              <w:t>补传报备材料</w:t>
            </w:r>
          </w:p>
        </w:tc>
        <w:tc>
          <w:tcPr>
            <w:tcW w:type="dxa" w:w="2880"/>
          </w:tcPr>
          <w:p>
            <w:r>
              <w:rPr>
                <w:rFonts w:ascii="Times New Roman" w:hAnsi="Times New Roman" w:eastAsia="宋体"/>
                <w:sz w:val="21"/>
              </w:rPr>
              <w:t>再次修订制度或调整在办</w:t>
            </w:r>
          </w:p>
        </w:tc>
      </w:tr>
      <w:tr>
        <w:tc>
          <w:tcPr>
            <w:tcW w:type="dxa" w:w="2880"/>
          </w:tcPr>
          <w:p>
            <w:r>
              <w:rPr>
                <w:rFonts w:ascii="Times New Roman" w:hAnsi="Times New Roman" w:eastAsia="宋体"/>
                <w:sz w:val="21"/>
              </w:rPr>
              <w:t>对照情景</w:t>
            </w:r>
          </w:p>
        </w:tc>
        <w:tc>
          <w:tcPr>
            <w:tcW w:type="dxa" w:w="2880"/>
          </w:tcPr>
          <w:p>
            <w:r>
              <w:rPr>
                <w:rFonts w:ascii="Times New Roman" w:hAnsi="Times New Roman" w:eastAsia="宋体"/>
                <w:sz w:val="21"/>
              </w:rPr>
              <w:t>低额且不涉及无人机的内部立项</w:t>
            </w:r>
          </w:p>
        </w:tc>
        <w:tc>
          <w:tcPr>
            <w:tcW w:type="dxa" w:w="2880"/>
          </w:tcPr>
          <w:p>
            <w:r>
              <w:rPr>
                <w:rFonts w:ascii="Times New Roman" w:hAnsi="Times New Roman" w:eastAsia="宋体"/>
                <w:sz w:val="21"/>
              </w:rPr>
              <w:t>上限未改时的原日历</w:t>
            </w:r>
          </w:p>
        </w:tc>
      </w:tr>
      <w:tr>
        <w:tc>
          <w:tcPr>
            <w:tcW w:type="dxa" w:w="2880"/>
          </w:tcPr>
          <w:p>
            <w:r>
              <w:rPr>
                <w:rFonts w:ascii="Times New Roman" w:hAnsi="Times New Roman" w:eastAsia="宋体"/>
                <w:sz w:val="21"/>
              </w:rPr>
              <w:t>主要服务对象</w:t>
            </w:r>
          </w:p>
        </w:tc>
        <w:tc>
          <w:tcPr>
            <w:tcW w:type="dxa" w:w="2880"/>
          </w:tcPr>
          <w:p>
            <w:r>
              <w:rPr>
                <w:rFonts w:ascii="Times New Roman" w:hAnsi="Times New Roman" w:eastAsia="宋体"/>
                <w:sz w:val="21"/>
              </w:rPr>
              <w:t>申报人、合规、管理层</w:t>
            </w:r>
          </w:p>
        </w:tc>
        <w:tc>
          <w:tcPr>
            <w:tcW w:type="dxa" w:w="2880"/>
          </w:tcPr>
          <w:p>
            <w:r>
              <w:rPr>
                <w:rFonts w:ascii="Times New Roman" w:hAnsi="Times New Roman" w:eastAsia="宋体"/>
                <w:sz w:val="21"/>
              </w:rPr>
              <w:t>行政、承办部门、管理层</w:t>
            </w:r>
          </w:p>
        </w:tc>
      </w:tr>
      <w:tr>
        <w:tc>
          <w:tcPr>
            <w:tcW w:type="dxa" w:w="2880"/>
          </w:tcPr>
          <w:p>
            <w:r>
              <w:rPr>
                <w:rFonts w:ascii="Times New Roman" w:hAnsi="Times New Roman" w:eastAsia="宋体"/>
                <w:sz w:val="21"/>
              </w:rPr>
              <w:t>验证观察</w:t>
            </w:r>
          </w:p>
        </w:tc>
        <w:tc>
          <w:tcPr>
            <w:tcW w:type="dxa" w:w="2880"/>
          </w:tcPr>
          <w:p>
            <w:r>
              <w:rPr>
                <w:rFonts w:ascii="Times New Roman" w:hAnsi="Times New Roman" w:eastAsia="宋体"/>
                <w:sz w:val="21"/>
              </w:rPr>
              <w:t>两单路径显著不同且高额单可解卡</w:t>
            </w:r>
          </w:p>
        </w:tc>
        <w:tc>
          <w:tcPr>
            <w:tcW w:type="dxa" w:w="2880"/>
          </w:tcPr>
          <w:p>
            <w:r>
              <w:rPr>
                <w:rFonts w:ascii="Times New Roman" w:hAnsi="Times New Roman" w:eastAsia="宋体"/>
                <w:sz w:val="21"/>
              </w:rPr>
              <w:t>改条款后忙闲立刻变化</w:t>
            </w:r>
          </w:p>
        </w:tc>
      </w:tr>
    </w:tbl>
    <w:p>
      <w:pPr/>
    </w:p>
    <w:p>
      <w:pPr/>
      <w:r>
        <w:t>两类场景共同说明：审批分析中心的价值不在于增加更多固定模板，而在于把制度信号和申报信号纳入同一条可计算、可解释、可反馈的传导链条。当高额特种作业被正确卡住、低额内部事项走出短链、并行条款能够改变日历时，从套用固定模板向按申报生成路径的战略转型才真正成立。</w:t>
      </w:r>
    </w:p>
    <w:sectPr w:rsidR="0065625F">
      <w:footerReference w:type="default" r:id="rId18"/>
      <w:pgSz w:w="12240" w:h="15840"/>
      <w:pgMar w:top="1440" w:right="1800" w:bottom="1440" w:left="180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 w:author="Moky" w:date="2026-07-31T10:26:00Z" w:initials="M">
    <w:p w14:paraId="4FBF0E9D" w14:textId="1066BBE3" w:rsidR="00F4414F" w:rsidRDefault="00F4414F">
      <w:pPr>
        <w:pStyle w:val="aff8"/>
        <w:ind w:firstLine="420"/>
        <w:rPr>
          <w:rFonts w:hint="eastAsia"/>
        </w:rPr>
      </w:pPr>
      <w:r>
        <w:rPr>
          <w:rStyle w:val="aff7"/>
        </w:rPr>
        <w:annotationRef/>
      </w:r>
      <w:r>
        <w:rPr>
          <w:rFonts w:hint="eastAsia"/>
        </w:rPr>
        <w:t>强调以生产计划为核心产运销储用的计划核心性</w:t>
      </w:r>
    </w:p>
  </w:comment>
  <w:comment w:id="4" w:author="Moky" w:date="2026-07-31T10:27:00Z" w:initials="M">
    <w:p w14:paraId="50429ABA" w14:textId="194BE231" w:rsidR="00F4414F" w:rsidRDefault="00F4414F">
      <w:pPr>
        <w:pStyle w:val="aff8"/>
        <w:ind w:firstLine="420"/>
        <w:rPr>
          <w:rFonts w:hint="eastAsia"/>
        </w:rPr>
      </w:pPr>
      <w:r>
        <w:rPr>
          <w:rStyle w:val="aff7"/>
        </w:rPr>
        <w:annotationRef/>
      </w:r>
      <w:r>
        <w:rPr>
          <w:rFonts w:hint="eastAsia"/>
        </w:rPr>
        <w:t>市场信号这个词一定定义，圈定范围。</w:t>
      </w:r>
    </w:p>
  </w:comment>
  <w:comment w:id="14" w:author="Moky" w:date="2026-07-31T10:29:00Z" w:initials="M">
    <w:p w14:paraId="14D3A80F" w14:textId="0F5EEE0D" w:rsidR="00F4414F" w:rsidRDefault="00F4414F">
      <w:pPr>
        <w:pStyle w:val="aff8"/>
        <w:ind w:firstLine="420"/>
        <w:rPr>
          <w:rFonts w:hint="eastAsia"/>
        </w:rPr>
      </w:pPr>
      <w:r>
        <w:rPr>
          <w:rStyle w:val="aff7"/>
        </w:rPr>
        <w:annotationRef/>
      </w:r>
      <w:r>
        <w:rPr>
          <w:rFonts w:hint="eastAsia"/>
        </w:rPr>
        <w:t>分析体系</w:t>
      </w:r>
    </w:p>
  </w:comment>
  <w:comment w:id="33" w:author="Moky" w:date="2026-07-31T10:38:00Z" w:initials="M">
    <w:p w14:paraId="6006E445" w14:textId="42757A54" w:rsidR="0014185F" w:rsidRDefault="0014185F">
      <w:pPr>
        <w:pStyle w:val="aff8"/>
        <w:ind w:firstLine="420"/>
      </w:pPr>
      <w:r>
        <w:rPr>
          <w:rStyle w:val="aff7"/>
        </w:rPr>
        <w:annotationRef/>
      </w:r>
      <w:r>
        <w:rPr>
          <w:rFonts w:hint="eastAsia"/>
        </w:rPr>
        <w:t>指标如何确定</w:t>
      </w:r>
    </w:p>
  </w:comment>
  <w:comment w:id="34" w:author="Moky" w:date="2026-07-31T10:39:00Z" w:initials="M">
    <w:p w14:paraId="2FE2B159" w14:textId="75C80159" w:rsidR="0014185F" w:rsidRDefault="0014185F">
      <w:pPr>
        <w:pStyle w:val="aff8"/>
        <w:ind w:firstLine="420"/>
      </w:pPr>
      <w:r>
        <w:rPr>
          <w:rStyle w:val="aff7"/>
        </w:rPr>
        <w:annotationRef/>
      </w:r>
      <w:r>
        <w:rPr>
          <w:rFonts w:hint="eastAsia"/>
        </w:rPr>
        <w:t>充实一下</w:t>
      </w:r>
    </w:p>
  </w:comment>
  <w:comment w:id="41" w:author="Moky" w:date="2026-07-31T10:43:00Z" w:initials="M">
    <w:p w14:paraId="1B8DB080" w14:textId="53F311F9" w:rsidR="0062413D" w:rsidRDefault="0062413D">
      <w:pPr>
        <w:pStyle w:val="aff8"/>
        <w:ind w:firstLine="420"/>
      </w:pPr>
      <w:r>
        <w:rPr>
          <w:rStyle w:val="aff7"/>
        </w:rPr>
        <w:annotationRef/>
      </w:r>
      <w:r>
        <w:rPr>
          <w:rFonts w:hint="eastAsia"/>
        </w:rPr>
        <w:t>参照什么来提升</w:t>
      </w:r>
    </w:p>
  </w:comment>
  <w:comment w:id="42" w:author="Moky" w:date="2026-07-31T10:46:00Z" w:initials="M">
    <w:p w14:paraId="6D9FD0AC" w14:textId="084E098A" w:rsidR="009F4F43" w:rsidRDefault="009F4F43">
      <w:pPr>
        <w:pStyle w:val="aff8"/>
        <w:ind w:firstLine="420"/>
        <w:rPr>
          <w:rFonts w:hint="eastAsia"/>
        </w:rPr>
      </w:pPr>
      <w:r>
        <w:rPr>
          <w:rStyle w:val="aff7"/>
        </w:rPr>
        <w:annotationRef/>
      </w:r>
      <w:r>
        <w:rPr>
          <w:rFonts w:hint="eastAsia"/>
        </w:rPr>
        <w:t>需要由理论指导实际有多少类</w:t>
      </w:r>
    </w:p>
  </w:comment>
  <w:comment w:id="47" w:author="Moky" w:date="2026-07-31T10:48:00Z" w:initials="M">
    <w:p w14:paraId="1603C039" w14:textId="68DEC9A8" w:rsidR="009F4F43" w:rsidRDefault="009F4F43">
      <w:pPr>
        <w:pStyle w:val="aff8"/>
        <w:ind w:firstLine="420"/>
      </w:pPr>
      <w:r>
        <w:rPr>
          <w:rStyle w:val="aff7"/>
        </w:rPr>
        <w:annotationRef/>
      </w:r>
      <w:r>
        <w:rPr>
          <w:rFonts w:hint="eastAsia"/>
        </w:rPr>
        <w:t>措词</w:t>
      </w:r>
    </w:p>
  </w:comment>
  <w:comment w:id="48" w:author="Moky" w:date="2026-07-31T10:48:00Z" w:initials="M">
    <w:p w14:paraId="121FA8CE" w14:textId="639B9357" w:rsidR="009F4F43" w:rsidRDefault="009F4F43">
      <w:pPr>
        <w:pStyle w:val="aff8"/>
        <w:ind w:firstLine="420"/>
      </w:pPr>
      <w:r>
        <w:rPr>
          <w:rStyle w:val="aff7"/>
        </w:rPr>
        <w:annotationRef/>
      </w:r>
    </w:p>
  </w:comment>
  <w:comment w:id="49" w:author="Moky" w:date="2026-07-31T10:49:00Z" w:initials="M">
    <w:p w14:paraId="62706CC3" w14:textId="26E94669" w:rsidR="009F4F43" w:rsidRDefault="009F4F43">
      <w:pPr>
        <w:pStyle w:val="aff8"/>
        <w:ind w:firstLine="420"/>
      </w:pPr>
      <w:r>
        <w:rPr>
          <w:rStyle w:val="aff7"/>
        </w:rPr>
        <w:annotationRef/>
      </w:r>
      <w:r>
        <w:rPr>
          <w:rFonts w:hint="eastAsia"/>
        </w:rPr>
        <w:t>测算依据，降本提效、专业维度讲</w:t>
      </w:r>
    </w:p>
  </w:comment>
  <w:comment w:id="55" w:author="Moky" w:date="2026-07-31T10:51:00Z" w:initials="M">
    <w:p w14:paraId="6CBCA668" w14:textId="4DC31333" w:rsidR="009F4F43" w:rsidRDefault="009F4F43">
      <w:pPr>
        <w:pStyle w:val="aff8"/>
        <w:ind w:firstLine="420"/>
        <w:rPr>
          <w:rFonts w:hint="eastAsia"/>
        </w:rPr>
      </w:pPr>
      <w:r>
        <w:rPr>
          <w:rStyle w:val="aff7"/>
        </w:rPr>
        <w:annotationRef/>
      </w:r>
      <w:r>
        <w:rPr>
          <w:rFonts w:hint="eastAsia"/>
        </w:rPr>
        <w:t>明确什么是深度分析</w:t>
      </w:r>
    </w:p>
  </w:comment>
  <w:comment w:id="56" w:author="Moky" w:date="2026-07-31T10:51:00Z" w:initials="M">
    <w:p w14:paraId="3E04E7F8" w14:textId="5D43F839" w:rsidR="009F4F43" w:rsidRDefault="009F4F43">
      <w:pPr>
        <w:pStyle w:val="aff8"/>
        <w:ind w:firstLine="420"/>
      </w:pPr>
      <w:r>
        <w:rPr>
          <w:rStyle w:val="aff7"/>
        </w:rPr>
        <w:annotationRef/>
      </w:r>
    </w:p>
  </w:comment>
  <w:comment w:id="58" w:author="Moky" w:date="2026-07-31T10:53:00Z" w:initials="M">
    <w:p w14:paraId="21F8F860" w14:textId="5B0C74BE" w:rsidR="009F4F43" w:rsidRDefault="009F4F43">
      <w:pPr>
        <w:pStyle w:val="aff8"/>
        <w:ind w:firstLine="420"/>
      </w:pPr>
      <w:r>
        <w:rPr>
          <w:rStyle w:val="aff7"/>
        </w:rPr>
        <w:annotationRef/>
      </w:r>
      <w:r>
        <w:rPr>
          <w:rFonts w:hint="eastAsia"/>
        </w:rPr>
        <w:t>重新写一下，是递进的关系</w:t>
      </w:r>
    </w:p>
  </w:comment>
  <w:comment w:id="72" w:author="Moky" w:date="2026-07-31T10:57:00Z" w:initials="M">
    <w:p w14:paraId="7839C439" w14:textId="5B29B40B" w:rsidR="00D61EC8" w:rsidRDefault="00D61EC8">
      <w:pPr>
        <w:pStyle w:val="aff8"/>
        <w:ind w:firstLine="420"/>
      </w:pPr>
      <w:r>
        <w:rPr>
          <w:rStyle w:val="aff7"/>
        </w:rPr>
        <w:annotationRef/>
      </w:r>
    </w:p>
  </w:comment>
  <w:comment w:id="74" w:author="Moky" w:date="2026-07-31T10:59:00Z" w:initials="M">
    <w:p w14:paraId="69ECF537" w14:textId="61E89804" w:rsidR="00D61EC8" w:rsidRDefault="00D61EC8">
      <w:pPr>
        <w:pStyle w:val="aff8"/>
        <w:ind w:firstLine="420"/>
      </w:pPr>
      <w:r>
        <w:rPr>
          <w:rStyle w:val="aff7"/>
        </w:rPr>
        <w:annotationRef/>
      </w:r>
      <w:r>
        <w:rPr>
          <w:rFonts w:hint="eastAsia"/>
        </w:rPr>
        <w:t>结合仿真平台</w:t>
      </w:r>
    </w:p>
  </w:comment>
  <w:comment w:id="75" w:author="Moky" w:date="2026-07-31T10:59:00Z" w:initials="M">
    <w:p w14:paraId="5BE29E1E" w14:textId="15D13E74" w:rsidR="00D61EC8" w:rsidRDefault="00D61EC8">
      <w:pPr>
        <w:pStyle w:val="aff8"/>
        <w:ind w:firstLine="420"/>
      </w:pPr>
      <w:r>
        <w:rPr>
          <w:rStyle w:val="aff7"/>
        </w:rPr>
        <w:annotationRef/>
      </w:r>
      <w:r>
        <w:rPr>
          <w:rFonts w:hint="eastAsia"/>
        </w:rPr>
        <w:t>解决仿真平台二期的核心需求</w:t>
      </w:r>
    </w:p>
  </w:comment>
  <w:comment w:id="82" w:author="Moky" w:date="2026-07-31T11:03:00Z" w:initials="M">
    <w:p w14:paraId="18830FFC" w14:textId="7EBA2333" w:rsidR="00D61EC8" w:rsidRDefault="00D61EC8">
      <w:pPr>
        <w:pStyle w:val="aff8"/>
        <w:ind w:firstLine="420"/>
        <w:rPr>
          <w:rFonts w:hint="eastAsia"/>
        </w:rPr>
      </w:pPr>
      <w:r>
        <w:rPr>
          <w:rStyle w:val="aff7"/>
        </w:rPr>
        <w:annotationRef/>
      </w:r>
      <w:r>
        <w:rPr>
          <w:rFonts w:hint="eastAsia"/>
        </w:rPr>
        <w:t>角色区分3个内容</w:t>
      </w:r>
    </w:p>
  </w:comment>
  <w:comment w:id="101" w:author="Moky" w:date="2026-07-31T11:08:00Z" w:initials="M">
    <w:p w14:paraId="43C6554F" w14:textId="6D264A20" w:rsidR="00C65CBF" w:rsidRDefault="00C65CBF">
      <w:pPr>
        <w:pStyle w:val="aff8"/>
        <w:ind w:firstLine="420"/>
      </w:pPr>
      <w:r>
        <w:rPr>
          <w:rStyle w:val="aff7"/>
        </w:rPr>
        <w:annotationRef/>
      </w:r>
      <w:r>
        <w:rPr>
          <w:rFonts w:hint="eastAsia"/>
        </w:rPr>
        <w:t>从智能角度来说</w:t>
      </w:r>
    </w:p>
  </w:comment>
  <w:comment w:id="105" w:author="Moky" w:date="2026-07-31T11:11:00Z" w:initials="M">
    <w:p w14:paraId="0C7DA7B8" w14:textId="604FF3AE" w:rsidR="00C65CBF" w:rsidRDefault="00C65CBF">
      <w:pPr>
        <w:pStyle w:val="aff8"/>
        <w:ind w:firstLine="420"/>
      </w:pPr>
      <w:r>
        <w:rPr>
          <w:rStyle w:val="aff7"/>
        </w:rPr>
        <w:annotationRef/>
      </w:r>
      <w:r>
        <w:rPr>
          <w:rFonts w:hint="eastAsia"/>
        </w:rPr>
        <w:t>设计思想和技术路线的区别 ，宏观和微观</w:t>
      </w:r>
    </w:p>
  </w:comment>
  <w:comment w:id="103" w:author="Moky" w:date="2026-07-31T11:09:00Z" w:initials="M">
    <w:p w14:paraId="70F6AD9A" w14:textId="426ED013" w:rsidR="00C65CBF" w:rsidRDefault="00C65CBF">
      <w:pPr>
        <w:pStyle w:val="aff8"/>
        <w:ind w:firstLine="420"/>
      </w:pPr>
      <w:r>
        <w:rPr>
          <w:rStyle w:val="aff7"/>
        </w:rPr>
        <w:annotationRef/>
      </w:r>
    </w:p>
  </w:comment>
  <w:comment w:id="115" w:author="Moky" w:date="2026-07-31T11:15:00Z" w:initials="M">
    <w:p w14:paraId="24AB8B98" w14:textId="0A084965" w:rsidR="003C7B15" w:rsidRDefault="003C7B15">
      <w:pPr>
        <w:pStyle w:val="aff8"/>
        <w:ind w:firstLine="420"/>
      </w:pPr>
      <w:r>
        <w:rPr>
          <w:rStyle w:val="aff7"/>
        </w:rPr>
        <w:annotationRef/>
      </w:r>
      <w:r>
        <w:rPr>
          <w:rFonts w:hint="eastAsia"/>
        </w:rPr>
        <w:t>治理规范</w:t>
      </w:r>
    </w:p>
  </w:comment>
  <w:comment w:id="118" w:author="Moky" w:date="2026-07-31T11:18:00Z" w:initials="M">
    <w:p w14:paraId="786E7A0E" w14:textId="3A8CA023" w:rsidR="003C7B15" w:rsidRDefault="003C7B15">
      <w:pPr>
        <w:pStyle w:val="aff8"/>
        <w:ind w:firstLine="420"/>
      </w:pPr>
      <w:r>
        <w:rPr>
          <w:rStyle w:val="aff7"/>
        </w:rPr>
        <w:annotationRef/>
      </w:r>
      <w:r>
        <w:rPr>
          <w:rFonts w:hint="eastAsia"/>
        </w:rPr>
        <w:t>范式标准提出，方法和建模揉在一起了。需要把分析出来</w:t>
      </w:r>
    </w:p>
  </w:comment>
  <w:comment w:id="145" w:author="Moky" w:date="2026-07-31T11:30:00Z" w:initials="M">
    <w:p w14:paraId="5339C8ED" w14:textId="694AF8D9" w:rsidR="005410D7" w:rsidRDefault="005410D7">
      <w:pPr>
        <w:pStyle w:val="aff8"/>
        <w:ind w:firstLine="420"/>
      </w:pPr>
      <w:r>
        <w:rPr>
          <w:rStyle w:val="aff7"/>
        </w:rPr>
        <w:annotationRef/>
      </w:r>
      <w:r>
        <w:rPr>
          <w:rFonts w:hint="eastAsia"/>
        </w:rPr>
        <w:t>归类到skill中</w:t>
      </w:r>
    </w:p>
  </w:comment>
  <w:comment w:id="151" w:author="Moky" w:date="2026-07-31T11:27:00Z" w:initials="M">
    <w:p w14:paraId="5468DC88" w14:textId="66CCA098" w:rsidR="005410D7" w:rsidRDefault="005410D7">
      <w:pPr>
        <w:pStyle w:val="aff8"/>
        <w:ind w:firstLine="420"/>
        <w:rPr>
          <w:rFonts w:hint="eastAsia"/>
        </w:rPr>
      </w:pPr>
      <w:r>
        <w:rPr>
          <w:rStyle w:val="aff7"/>
        </w:rPr>
        <w:annotationRef/>
      </w:r>
      <w:r>
        <w:t>S</w:t>
      </w:r>
      <w:r>
        <w:rPr>
          <w:rFonts w:hint="eastAsia"/>
        </w:rPr>
        <w:t>kill需要展开来说，需要树状的矩阵，有谁来管控调用的机制、调谁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FBF0E9D" w15:done="0"/>
  <w15:commentEx w15:paraId="50429ABA" w15:done="0"/>
  <w15:commentEx w15:paraId="14D3A80F" w15:done="0"/>
  <w15:commentEx w15:paraId="6006E445" w15:done="0"/>
  <w15:commentEx w15:paraId="2FE2B159" w15:done="0"/>
  <w15:commentEx w15:paraId="1B8DB080" w15:done="0"/>
  <w15:commentEx w15:paraId="6D9FD0AC" w15:done="0"/>
  <w15:commentEx w15:paraId="1603C039" w15:done="0"/>
  <w15:commentEx w15:paraId="121FA8CE" w15:done="0"/>
  <w15:commentEx w15:paraId="62706CC3" w15:done="0"/>
  <w15:commentEx w15:paraId="6CBCA668" w15:done="0"/>
  <w15:commentEx w15:paraId="3E04E7F8" w15:done="0"/>
  <w15:commentEx w15:paraId="21F8F860" w15:done="0"/>
  <w15:commentEx w15:paraId="7839C439" w15:done="0"/>
  <w15:commentEx w15:paraId="69ECF537" w15:done="0"/>
  <w15:commentEx w15:paraId="5BE29E1E" w15:done="0"/>
  <w15:commentEx w15:paraId="18830FFC" w15:done="0"/>
  <w15:commentEx w15:paraId="43C6554F" w15:done="0"/>
  <w15:commentEx w15:paraId="0C7DA7B8" w15:done="0"/>
  <w15:commentEx w15:paraId="70F6AD9A" w15:done="0"/>
  <w15:commentEx w15:paraId="24AB8B98" w15:done="0"/>
  <w15:commentEx w15:paraId="786E7A0E" w15:done="0"/>
  <w15:commentEx w15:paraId="5339C8ED" w15:done="0"/>
  <w15:commentEx w15:paraId="5468DC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E16F6D7" w16cex:dateUtc="2026-07-31T02:26:00Z"/>
  <w16cex:commentExtensible w16cex:durableId="2E16F72C" w16cex:dateUtc="2026-07-31T02:27:00Z"/>
  <w16cex:commentExtensible w16cex:durableId="2E16F799" w16cex:dateUtc="2026-07-31T02:29:00Z"/>
  <w16cex:commentExtensible w16cex:durableId="2E16F9B3" w16cex:dateUtc="2026-07-31T02:38:00Z"/>
  <w16cex:commentExtensible w16cex:durableId="2E16F9D9" w16cex:dateUtc="2026-07-31T02:39:00Z"/>
  <w16cex:commentExtensible w16cex:durableId="2E16FAB7" w16cex:dateUtc="2026-07-31T02:43:00Z"/>
  <w16cex:commentExtensible w16cex:durableId="2E16FB7C" w16cex:dateUtc="2026-07-31T02:46:00Z"/>
  <w16cex:commentExtensible w16cex:durableId="2E16FBE9" w16cex:dateUtc="2026-07-31T02:48:00Z"/>
  <w16cex:commentExtensible w16cex:durableId="2E16FBFF" w16cex:dateUtc="2026-07-31T02:48:00Z"/>
  <w16cex:commentExtensible w16cex:durableId="2E16FC33" w16cex:dateUtc="2026-07-31T02:49:00Z"/>
  <w16cex:commentExtensible w16cex:durableId="2E16FC95" w16cex:dateUtc="2026-07-31T02:51:00Z"/>
  <w16cex:commentExtensible w16cex:durableId="2E16FCBD" w16cex:dateUtc="2026-07-31T02:51:00Z"/>
  <w16cex:commentExtensible w16cex:durableId="2E16FD18" w16cex:dateUtc="2026-07-31T02:53:00Z"/>
  <w16cex:commentExtensible w16cex:durableId="2E16FE34" w16cex:dateUtc="2026-07-31T02:57:00Z"/>
  <w16cex:commentExtensible w16cex:durableId="2E16FE83" w16cex:dateUtc="2026-07-31T02:59:00Z"/>
  <w16cex:commentExtensible w16cex:durableId="2E16FEA3" w16cex:dateUtc="2026-07-31T02:59:00Z"/>
  <w16cex:commentExtensible w16cex:durableId="2E16FF6D" w16cex:dateUtc="2026-07-31T03:03:00Z"/>
  <w16cex:commentExtensible w16cex:durableId="2E1700AC" w16cex:dateUtc="2026-07-31T03:08:00Z"/>
  <w16cex:commentExtensible w16cex:durableId="2E170170" w16cex:dateUtc="2026-07-31T03:11:00Z"/>
  <w16cex:commentExtensible w16cex:durableId="2E1700FE" w16cex:dateUtc="2026-07-31T03:09:00Z"/>
  <w16cex:commentExtensible w16cex:durableId="2E170255" w16cex:dateUtc="2026-07-31T03:15:00Z"/>
  <w16cex:commentExtensible w16cex:durableId="2E170309" w16cex:dateUtc="2026-07-31T03:18:00Z"/>
  <w16cex:commentExtensible w16cex:durableId="2E1705D4" w16cex:dateUtc="2026-07-31T03:30:00Z"/>
  <w16cex:commentExtensible w16cex:durableId="2E17050B" w16cex:dateUtc="2026-07-31T0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FBF0E9D" w16cid:durableId="2E16F6D7"/>
  <w16cid:commentId w16cid:paraId="50429ABA" w16cid:durableId="2E16F72C"/>
  <w16cid:commentId w16cid:paraId="14D3A80F" w16cid:durableId="2E16F799"/>
  <w16cid:commentId w16cid:paraId="6006E445" w16cid:durableId="2E16F9B3"/>
  <w16cid:commentId w16cid:paraId="2FE2B159" w16cid:durableId="2E16F9D9"/>
  <w16cid:commentId w16cid:paraId="1B8DB080" w16cid:durableId="2E16FAB7"/>
  <w16cid:commentId w16cid:paraId="6D9FD0AC" w16cid:durableId="2E16FB7C"/>
  <w16cid:commentId w16cid:paraId="1603C039" w16cid:durableId="2E16FBE9"/>
  <w16cid:commentId w16cid:paraId="121FA8CE" w16cid:durableId="2E16FBFF"/>
  <w16cid:commentId w16cid:paraId="62706CC3" w16cid:durableId="2E16FC33"/>
  <w16cid:commentId w16cid:paraId="6CBCA668" w16cid:durableId="2E16FC95"/>
  <w16cid:commentId w16cid:paraId="3E04E7F8" w16cid:durableId="2E16FCBD"/>
  <w16cid:commentId w16cid:paraId="21F8F860" w16cid:durableId="2E16FD18"/>
  <w16cid:commentId w16cid:paraId="7839C439" w16cid:durableId="2E16FE34"/>
  <w16cid:commentId w16cid:paraId="69ECF537" w16cid:durableId="2E16FE83"/>
  <w16cid:commentId w16cid:paraId="5BE29E1E" w16cid:durableId="2E16FEA3"/>
  <w16cid:commentId w16cid:paraId="18830FFC" w16cid:durableId="2E16FF6D"/>
  <w16cid:commentId w16cid:paraId="43C6554F" w16cid:durableId="2E1700AC"/>
  <w16cid:commentId w16cid:paraId="0C7DA7B8" w16cid:durableId="2E170170"/>
  <w16cid:commentId w16cid:paraId="70F6AD9A" w16cid:durableId="2E1700FE"/>
  <w16cid:commentId w16cid:paraId="24AB8B98" w16cid:durableId="2E170255"/>
  <w16cid:commentId w16cid:paraId="786E7A0E" w16cid:durableId="2E170309"/>
  <w16cid:commentId w16cid:paraId="5339C8ED" w16cid:durableId="2E1705D4"/>
  <w16cid:commentId w16cid:paraId="5468DC88" w16cid:durableId="2E1705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64D4B1" w14:textId="77777777" w:rsidR="000941E1" w:rsidRDefault="000941E1">
      <w:pPr>
        <w:spacing w:line="240" w:lineRule="auto"/>
      </w:pPr>
      <w:r>
        <w:separator/>
      </w:r>
    </w:p>
  </w:endnote>
  <w:endnote w:type="continuationSeparator" w:id="0">
    <w:p w14:paraId="43918153" w14:textId="77777777" w:rsidR="000941E1" w:rsidRDefault="000941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楷体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947202"/>
    </w:sdtPr>
    <w:sdtEndPr/>
    <w:sdtContent>
      <w:p w14:paraId="1078D93A" w14:textId="77777777" w:rsidR="0065625F" w:rsidRDefault="00A32364">
        <w:pPr>
          <w:pStyle w:val="ab"/>
          <w:jc w:val="center"/>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11499826"/>
    </w:sdtPr>
    <w:sdtEndPr/>
    <w:sdtContent>
      <w:p w14:paraId="2CF3403D" w14:textId="77777777" w:rsidR="0065625F" w:rsidRDefault="00A32364">
        <w:pPr>
          <w:pStyle w:val="ab"/>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5811973"/>
    </w:sdtPr>
    <w:sdtEndPr/>
    <w:sdtContent>
      <w:p w14:paraId="567CDD5C" w14:textId="77777777" w:rsidR="0065625F" w:rsidRDefault="00A32364">
        <w:pPr>
          <w:pStyle w:val="ab"/>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90FA89" w14:textId="77777777" w:rsidR="000941E1" w:rsidRDefault="000941E1">
      <w:r>
        <w:separator/>
      </w:r>
    </w:p>
  </w:footnote>
  <w:footnote w:type="continuationSeparator" w:id="0">
    <w:p w14:paraId="3ECC1378" w14:textId="77777777" w:rsidR="000941E1" w:rsidRDefault="000941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000015"/>
    <w:multiLevelType w:val="multilevel"/>
    <w:tmpl w:val="00000015"/>
    <w:lvl w:ilvl="0">
      <w:start w:val="1"/>
      <w:numFmt w:val="decimal"/>
      <w:suff w:val="space"/>
      <w:lvlText w:val="第%1章"/>
      <w:lvlJc w:val="left"/>
      <w:pPr>
        <w:ind w:left="0" w:firstLine="0"/>
      </w:pPr>
      <w:rPr>
        <w:rFonts w:ascii="Times New Roman" w:eastAsia="黑体" w:hAnsi="Times New Roman" w:hint="default"/>
        <w:b/>
        <w:i w:val="0"/>
        <w:sz w:val="44"/>
      </w:rPr>
    </w:lvl>
    <w:lvl w:ilvl="1">
      <w:start w:val="1"/>
      <w:numFmt w:val="decimal"/>
      <w:pStyle w:val="CCIDGB23122"/>
      <w:suff w:val="space"/>
      <w:lvlText w:val="%1.%2."/>
      <w:lvlJc w:val="left"/>
      <w:pPr>
        <w:ind w:left="0" w:firstLine="0"/>
      </w:pPr>
      <w:rPr>
        <w:rFonts w:hint="eastAsia"/>
      </w:rPr>
    </w:lvl>
    <w:lvl w:ilvl="2">
      <w:start w:val="1"/>
      <w:numFmt w:val="decimal"/>
      <w:suff w:val="space"/>
      <w:lvlText w:val="%1.%2.%3."/>
      <w:lvlJc w:val="left"/>
      <w:pPr>
        <w:ind w:left="0" w:firstLine="0"/>
      </w:pPr>
      <w:rPr>
        <w:rFonts w:ascii="Times New Roman" w:eastAsia="仿宋_GB2312" w:hAnsi="Times New Roman" w:hint="default"/>
        <w:b w:val="0"/>
        <w:i w:val="0"/>
        <w:sz w:val="32"/>
        <w:lang w:val="en-US"/>
      </w:rPr>
    </w:lvl>
    <w:lvl w:ilvl="3">
      <w:start w:val="1"/>
      <w:numFmt w:val="decimal"/>
      <w:suff w:val="nothing"/>
      <w:lvlText w:val="%1.%2.%3.%4."/>
      <w:lvlJc w:val="left"/>
      <w:pPr>
        <w:ind w:left="0" w:firstLine="0"/>
      </w:pPr>
      <w:rPr>
        <w:rFonts w:ascii="Times New Roman" w:hAnsi="Times New Roman" w:cs="Times New Roman" w:hint="default"/>
      </w:rPr>
    </w:lvl>
    <w:lvl w:ilvl="4">
      <w:start w:val="1"/>
      <w:numFmt w:val="chineseCountingThousand"/>
      <w:suff w:val="nothing"/>
      <w:lvlText w:val="%5、"/>
      <w:lvlJc w:val="left"/>
      <w:pPr>
        <w:ind w:left="0" w:firstLine="567"/>
      </w:pPr>
    </w:lvl>
    <w:lvl w:ilvl="5">
      <w:start w:val="1"/>
      <w:numFmt w:val="chineseCountingThousand"/>
      <w:suff w:val="nothing"/>
      <w:lvlText w:val="（%6）"/>
      <w:lvlJc w:val="left"/>
      <w:pPr>
        <w:ind w:left="400" w:firstLine="167"/>
      </w:pPr>
    </w:lvl>
    <w:lvl w:ilvl="6">
      <w:start w:val="1"/>
      <w:numFmt w:val="decimal"/>
      <w:suff w:val="nothing"/>
      <w:lvlText w:val="%7."/>
      <w:lvlJc w:val="left"/>
      <w:pPr>
        <w:ind w:left="141" w:firstLine="567"/>
      </w:pPr>
      <w:rPr>
        <w:rFonts w:ascii="Times New Roman" w:eastAsia="仿宋_GB2312" w:hAnsi="Times New Roman" w:hint="default"/>
        <w:b w:val="0"/>
        <w:i w:val="0"/>
        <w:sz w:val="28"/>
      </w:rPr>
    </w:lvl>
    <w:lvl w:ilvl="7">
      <w:start w:val="1"/>
      <w:numFmt w:val="decimal"/>
      <w:suff w:val="nothing"/>
      <w:lvlText w:val="（%8）"/>
      <w:lvlJc w:val="left"/>
      <w:pPr>
        <w:ind w:left="0" w:firstLine="454"/>
      </w:pPr>
      <w:rPr>
        <w:rFonts w:ascii="Times New Roman" w:eastAsia="仿宋_GB2312" w:hAnsi="Times New Roman" w:hint="default"/>
        <w:b w:val="0"/>
        <w:i w:val="0"/>
        <w:sz w:val="28"/>
      </w:rPr>
    </w:lvl>
    <w:lvl w:ilvl="8">
      <w:start w:val="1"/>
      <w:numFmt w:val="bullet"/>
      <w:suff w:val="space"/>
      <w:lvlText w:val=""/>
      <w:lvlJc w:val="left"/>
      <w:pPr>
        <w:ind w:left="0" w:firstLine="567"/>
      </w:pPr>
      <w:rPr>
        <w:rFonts w:ascii="Symbol" w:hAnsi="Symbol" w:hint="default"/>
        <w:b w:val="0"/>
        <w:i w:val="0"/>
        <w:color w:val="auto"/>
        <w:sz w:val="28"/>
      </w:rPr>
    </w:lvl>
  </w:abstractNum>
  <w:abstractNum w:abstractNumId="7" w15:restartNumberingAfterBreak="0">
    <w:nsid w:val="09A81BA0"/>
    <w:multiLevelType w:val="multilevel"/>
    <w:tmpl w:val="09A81BA0"/>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310E1F91"/>
    <w:multiLevelType w:val="multilevel"/>
    <w:tmpl w:val="310E1F91"/>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6A46558E"/>
    <w:multiLevelType w:val="multilevel"/>
    <w:tmpl w:val="2BE8BB10"/>
    <w:lvl w:ilvl="0">
      <w:start w:val="1"/>
      <w:numFmt w:val="decimal"/>
      <w:pStyle w:val="1"/>
      <w:lvlText w:val="%1"/>
      <w:lvlJc w:val="left"/>
      <w:pPr>
        <w:ind w:left="425" w:hanging="425"/>
      </w:pPr>
    </w:lvl>
    <w:lvl w:ilvl="1">
      <w:start w:val="1"/>
      <w:numFmt w:val="decimal"/>
      <w:pStyle w:val="21"/>
      <w:lvlText w:val="%1.%2"/>
      <w:lvlJc w:val="left"/>
      <w:pPr>
        <w:ind w:left="992" w:hanging="567"/>
      </w:pPr>
    </w:lvl>
    <w:lvl w:ilvl="2">
      <w:start w:val="1"/>
      <w:numFmt w:val="decimal"/>
      <w:pStyle w:val="31"/>
      <w:lvlText w:val="%1.%2.%3"/>
      <w:lvlJc w:val="left"/>
      <w:pPr>
        <w:ind w:left="1418" w:hanging="567"/>
      </w:pPr>
    </w:lvl>
    <w:lvl w:ilvl="3">
      <w:start w:val="1"/>
      <w:numFmt w:val="decimal"/>
      <w:pStyle w:val="4"/>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9"/>
  </w:num>
  <w:num w:numId="2">
    <w:abstractNumId w:val="1"/>
  </w:num>
  <w:num w:numId="3">
    <w:abstractNumId w:val="4"/>
  </w:num>
  <w:num w:numId="4">
    <w:abstractNumId w:val="5"/>
  </w:num>
  <w:num w:numId="5">
    <w:abstractNumId w:val="2"/>
  </w:num>
  <w:num w:numId="6">
    <w:abstractNumId w:val="0"/>
  </w:num>
  <w:num w:numId="7">
    <w:abstractNumId w:val="3"/>
  </w:num>
  <w:num w:numId="8">
    <w:abstractNumId w:val="6"/>
  </w:num>
  <w:num w:numId="9">
    <w:abstractNumId w:val="8"/>
  </w:num>
  <w:num w:numId="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oky">
    <w15:presenceInfo w15:providerId="None" w15:userId="Mok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47"/>
    <w:rsid w:val="0006063C"/>
    <w:rsid w:val="000941E1"/>
    <w:rsid w:val="001118FF"/>
    <w:rsid w:val="0014185F"/>
    <w:rsid w:val="00146882"/>
    <w:rsid w:val="0015074B"/>
    <w:rsid w:val="0015537F"/>
    <w:rsid w:val="00173D1C"/>
    <w:rsid w:val="001844CA"/>
    <w:rsid w:val="001A7705"/>
    <w:rsid w:val="0023555C"/>
    <w:rsid w:val="002541CA"/>
    <w:rsid w:val="0029639D"/>
    <w:rsid w:val="002D4AAB"/>
    <w:rsid w:val="00304B4C"/>
    <w:rsid w:val="00326F90"/>
    <w:rsid w:val="0033786A"/>
    <w:rsid w:val="00357411"/>
    <w:rsid w:val="00392792"/>
    <w:rsid w:val="003A04D4"/>
    <w:rsid w:val="003C7B15"/>
    <w:rsid w:val="00472A19"/>
    <w:rsid w:val="00480947"/>
    <w:rsid w:val="004A4B66"/>
    <w:rsid w:val="004C63E7"/>
    <w:rsid w:val="004E0776"/>
    <w:rsid w:val="005410D7"/>
    <w:rsid w:val="00581E93"/>
    <w:rsid w:val="005B4E87"/>
    <w:rsid w:val="005D1EAC"/>
    <w:rsid w:val="0062413D"/>
    <w:rsid w:val="0065625F"/>
    <w:rsid w:val="006855F1"/>
    <w:rsid w:val="006A47B1"/>
    <w:rsid w:val="006E5405"/>
    <w:rsid w:val="0076589D"/>
    <w:rsid w:val="0079162B"/>
    <w:rsid w:val="008428C0"/>
    <w:rsid w:val="00854446"/>
    <w:rsid w:val="008A6F9C"/>
    <w:rsid w:val="008B512B"/>
    <w:rsid w:val="00967EEF"/>
    <w:rsid w:val="00980158"/>
    <w:rsid w:val="009A017D"/>
    <w:rsid w:val="009B1F02"/>
    <w:rsid w:val="009B4848"/>
    <w:rsid w:val="009F36BB"/>
    <w:rsid w:val="009F4F43"/>
    <w:rsid w:val="00A0373C"/>
    <w:rsid w:val="00A11B4F"/>
    <w:rsid w:val="00A32364"/>
    <w:rsid w:val="00A732F7"/>
    <w:rsid w:val="00A74D39"/>
    <w:rsid w:val="00AA1D8D"/>
    <w:rsid w:val="00B33A80"/>
    <w:rsid w:val="00B47730"/>
    <w:rsid w:val="00BB5466"/>
    <w:rsid w:val="00C65CBF"/>
    <w:rsid w:val="00C86C92"/>
    <w:rsid w:val="00CB0664"/>
    <w:rsid w:val="00CB1259"/>
    <w:rsid w:val="00CD0468"/>
    <w:rsid w:val="00CE0AE4"/>
    <w:rsid w:val="00D61EC8"/>
    <w:rsid w:val="00DD693A"/>
    <w:rsid w:val="00DE32FB"/>
    <w:rsid w:val="00E46D7E"/>
    <w:rsid w:val="00F4414F"/>
    <w:rsid w:val="00FC693F"/>
    <w:rsid w:val="0CC2557B"/>
    <w:rsid w:val="104A3D4A"/>
    <w:rsid w:val="16BD3743"/>
    <w:rsid w:val="19ED32DA"/>
    <w:rsid w:val="21912868"/>
    <w:rsid w:val="238F10CF"/>
    <w:rsid w:val="241E2177"/>
    <w:rsid w:val="28081174"/>
    <w:rsid w:val="284B2E0F"/>
    <w:rsid w:val="29895705"/>
    <w:rsid w:val="2FD43BD9"/>
    <w:rsid w:val="323E5079"/>
    <w:rsid w:val="37F02AF8"/>
    <w:rsid w:val="382648FC"/>
    <w:rsid w:val="3A432BA1"/>
    <w:rsid w:val="41FC724F"/>
    <w:rsid w:val="4B626A14"/>
    <w:rsid w:val="4C081138"/>
    <w:rsid w:val="4C7E50C3"/>
    <w:rsid w:val="4D745CE7"/>
    <w:rsid w:val="51AC0193"/>
    <w:rsid w:val="54745B1B"/>
    <w:rsid w:val="57305EB3"/>
    <w:rsid w:val="57A02DA9"/>
    <w:rsid w:val="654059BD"/>
    <w:rsid w:val="712C31D5"/>
    <w:rsid w:val="725400DF"/>
    <w:rsid w:val="75622B13"/>
    <w:rsid w:val="7AE75F94"/>
    <w:rsid w:val="7DAC0D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16DDB20"/>
  <w14:defaultImageDpi w14:val="300"/>
  <w15:docId w15:val="{08760111-2A50-4005-A442-3A1E7C19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Chars="200" w:firstLine="480"/>
    </w:pPr>
    <w:rPr>
      <w:rFonts w:ascii="宋体" w:hAnsi="宋体" w:cstheme="minorBidi"/>
      <w:sz w:val="24"/>
      <w:szCs w:val="22"/>
    </w:rPr>
  </w:style>
  <w:style w:type="paragraph" w:styleId="1">
    <w:name w:val="heading 1"/>
    <w:basedOn w:val="a1"/>
    <w:next w:val="a1"/>
    <w:link w:val="10"/>
    <w:uiPriority w:val="9"/>
    <w:qFormat/>
    <w:pPr>
      <w:keepNext/>
      <w:keepLines/>
      <w:numPr>
        <w:numId w:val="1"/>
      </w:numPr>
      <w:spacing w:before="120"/>
      <w:ind w:left="0" w:firstLineChars="0" w:firstLine="0"/>
      <w:outlineLvl w:val="0"/>
    </w:pPr>
    <w:rPr>
      <w:rFonts w:asciiTheme="majorHAnsi" w:eastAsia="黑体" w:hAnsiTheme="majorHAnsi" w:cstheme="majorBidi"/>
      <w:bCs/>
      <w:sz w:val="30"/>
      <w:szCs w:val="28"/>
    </w:rPr>
  </w:style>
  <w:style w:type="paragraph" w:styleId="21">
    <w:name w:val="heading 2"/>
    <w:basedOn w:val="a1"/>
    <w:next w:val="a1"/>
    <w:link w:val="22"/>
    <w:uiPriority w:val="9"/>
    <w:unhideWhenUsed/>
    <w:qFormat/>
    <w:rsid w:val="00967EEF"/>
    <w:pPr>
      <w:keepNext/>
      <w:keepLines/>
      <w:numPr>
        <w:ilvl w:val="1"/>
        <w:numId w:val="1"/>
      </w:numPr>
      <w:spacing w:before="120"/>
      <w:ind w:left="0" w:firstLineChars="0" w:firstLine="0"/>
      <w:outlineLvl w:val="1"/>
    </w:pPr>
    <w:rPr>
      <w:rFonts w:asciiTheme="majorHAnsi" w:eastAsia="黑体" w:hAnsiTheme="majorHAnsi" w:cstheme="majorBidi"/>
      <w:bCs/>
      <w:sz w:val="28"/>
      <w:szCs w:val="26"/>
    </w:rPr>
  </w:style>
  <w:style w:type="paragraph" w:styleId="31">
    <w:name w:val="heading 3"/>
    <w:basedOn w:val="a1"/>
    <w:next w:val="a1"/>
    <w:link w:val="32"/>
    <w:uiPriority w:val="9"/>
    <w:unhideWhenUsed/>
    <w:qFormat/>
    <w:pPr>
      <w:keepNext/>
      <w:keepLines/>
      <w:numPr>
        <w:ilvl w:val="2"/>
        <w:numId w:val="1"/>
      </w:numPr>
      <w:spacing w:before="120"/>
      <w:ind w:left="0" w:firstLineChars="0" w:firstLine="0"/>
      <w:outlineLvl w:val="2"/>
    </w:pPr>
    <w:rPr>
      <w:rFonts w:asciiTheme="majorHAnsi" w:eastAsia="黑体" w:hAnsiTheme="majorHAnsi" w:cstheme="majorBidi"/>
      <w:bCs/>
    </w:rPr>
  </w:style>
  <w:style w:type="paragraph" w:styleId="4">
    <w:name w:val="heading 4"/>
    <w:basedOn w:val="a1"/>
    <w:next w:val="a1"/>
    <w:link w:val="40"/>
    <w:uiPriority w:val="9"/>
    <w:unhideWhenUsed/>
    <w:qFormat/>
    <w:pPr>
      <w:keepNext/>
      <w:keepLines/>
      <w:numPr>
        <w:ilvl w:val="3"/>
        <w:numId w:val="1"/>
      </w:numPr>
      <w:spacing w:before="120"/>
      <w:ind w:left="0" w:firstLineChars="0" w:firstLine="0"/>
      <w:outlineLvl w:val="3"/>
    </w:pPr>
    <w:rPr>
      <w:rFonts w:asciiTheme="majorHAnsi" w:eastAsia="黑体" w:hAnsiTheme="majorHAnsi" w:cstheme="majorBidi"/>
      <w:bCs/>
      <w:iCs/>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TOC7">
    <w:name w:val="toc 7"/>
    <w:basedOn w:val="a1"/>
    <w:next w:val="a1"/>
    <w:autoRedefine/>
    <w:uiPriority w:val="39"/>
    <w:unhideWhenUsed/>
    <w:qFormat/>
    <w:pPr>
      <w:widowControl w:val="0"/>
      <w:spacing w:line="240" w:lineRule="auto"/>
      <w:ind w:leftChars="1200" w:left="2520" w:firstLineChars="0" w:firstLine="0"/>
      <w:jc w:val="both"/>
    </w:pPr>
    <w:rPr>
      <w:rFonts w:asciiTheme="minorHAnsi" w:eastAsiaTheme="minorEastAsia" w:hAnsiTheme="minorHAnsi"/>
      <w:kern w:val="2"/>
      <w:sz w:val="21"/>
    </w:rPr>
  </w:style>
  <w:style w:type="paragraph" w:styleId="2">
    <w:name w:val="List Number 2"/>
    <w:basedOn w:val="a1"/>
    <w:uiPriority w:val="99"/>
    <w:unhideWhenUsed/>
    <w:qFormat/>
    <w:pPr>
      <w:numPr>
        <w:numId w:val="2"/>
      </w:numPr>
      <w:contextualSpacing/>
    </w:pPr>
  </w:style>
  <w:style w:type="paragraph" w:styleId="a">
    <w:name w:val="List Number"/>
    <w:basedOn w:val="a1"/>
    <w:uiPriority w:val="99"/>
    <w:unhideWhenUsed/>
    <w:qFormat/>
    <w:pPr>
      <w:numPr>
        <w:numId w:val="3"/>
      </w:numPr>
      <w:contextualSpacing/>
    </w:pPr>
  </w:style>
  <w:style w:type="paragraph" w:styleId="a7">
    <w:name w:val="caption"/>
    <w:basedOn w:val="a1"/>
    <w:next w:val="a1"/>
    <w:uiPriority w:val="35"/>
    <w:semiHidden/>
    <w:unhideWhenUsed/>
    <w:qFormat/>
    <w:pPr>
      <w:spacing w:line="240" w:lineRule="auto"/>
      <w:jc w:val="center"/>
    </w:pPr>
    <w:rPr>
      <w:b/>
      <w:bCs/>
      <w:color w:val="000000" w:themeColor="text1"/>
      <w:szCs w:val="24"/>
    </w:rPr>
  </w:style>
  <w:style w:type="paragraph" w:styleId="a0">
    <w:name w:val="List Bullet"/>
    <w:basedOn w:val="a1"/>
    <w:uiPriority w:val="99"/>
    <w:unhideWhenUsed/>
    <w:qFormat/>
    <w:pPr>
      <w:numPr>
        <w:numId w:val="4"/>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5"/>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qFormat/>
    <w:pPr>
      <w:numPr>
        <w:numId w:val="6"/>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7"/>
      </w:numPr>
      <w:contextualSpacing/>
    </w:pPr>
  </w:style>
  <w:style w:type="paragraph" w:styleId="TOC5">
    <w:name w:val="toc 5"/>
    <w:basedOn w:val="a1"/>
    <w:next w:val="a1"/>
    <w:autoRedefine/>
    <w:uiPriority w:val="39"/>
    <w:unhideWhenUsed/>
    <w:qFormat/>
    <w:pPr>
      <w:widowControl w:val="0"/>
      <w:spacing w:line="240" w:lineRule="auto"/>
      <w:ind w:leftChars="800" w:left="1680" w:firstLineChars="0" w:firstLine="0"/>
      <w:jc w:val="both"/>
    </w:pPr>
    <w:rPr>
      <w:rFonts w:asciiTheme="minorHAnsi" w:eastAsiaTheme="minorEastAsia" w:hAnsiTheme="minorHAnsi"/>
      <w:kern w:val="2"/>
      <w:sz w:val="21"/>
    </w:rPr>
  </w:style>
  <w:style w:type="paragraph" w:styleId="TOC3">
    <w:name w:val="toc 3"/>
    <w:basedOn w:val="a1"/>
    <w:next w:val="a1"/>
    <w:autoRedefine/>
    <w:uiPriority w:val="39"/>
    <w:unhideWhenUsed/>
    <w:qFormat/>
    <w:pPr>
      <w:ind w:leftChars="400" w:left="400" w:firstLineChars="0" w:firstLine="0"/>
    </w:pPr>
  </w:style>
  <w:style w:type="paragraph" w:styleId="TOC8">
    <w:name w:val="toc 8"/>
    <w:basedOn w:val="a1"/>
    <w:next w:val="a1"/>
    <w:autoRedefine/>
    <w:uiPriority w:val="39"/>
    <w:unhideWhenUsed/>
    <w:qFormat/>
    <w:pPr>
      <w:widowControl w:val="0"/>
      <w:spacing w:line="240" w:lineRule="auto"/>
      <w:ind w:leftChars="1400" w:left="2940" w:firstLineChars="0" w:firstLine="0"/>
      <w:jc w:val="both"/>
    </w:pPr>
    <w:rPr>
      <w:rFonts w:asciiTheme="minorHAnsi" w:eastAsiaTheme="minorEastAsia" w:hAnsiTheme="minorHAnsi"/>
      <w:kern w:val="2"/>
      <w:sz w:val="21"/>
    </w:r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pPr>
      <w:tabs>
        <w:tab w:val="center" w:pos="4680"/>
        <w:tab w:val="right" w:pos="9360"/>
      </w:tabs>
      <w:spacing w:line="240" w:lineRule="auto"/>
    </w:pPr>
  </w:style>
  <w:style w:type="paragraph" w:styleId="TOC1">
    <w:name w:val="toc 1"/>
    <w:basedOn w:val="a1"/>
    <w:next w:val="a1"/>
    <w:autoRedefine/>
    <w:uiPriority w:val="39"/>
    <w:unhideWhenUsed/>
    <w:pPr>
      <w:ind w:firstLineChars="0" w:firstLine="0"/>
    </w:pPr>
  </w:style>
  <w:style w:type="paragraph" w:styleId="TOC4">
    <w:name w:val="toc 4"/>
    <w:basedOn w:val="a1"/>
    <w:next w:val="a1"/>
    <w:autoRedefine/>
    <w:uiPriority w:val="39"/>
    <w:unhideWhenUsed/>
    <w:pPr>
      <w:widowControl w:val="0"/>
      <w:spacing w:line="240" w:lineRule="auto"/>
      <w:ind w:leftChars="600" w:left="1260" w:firstLineChars="0" w:firstLine="0"/>
      <w:jc w:val="both"/>
    </w:pPr>
    <w:rPr>
      <w:rFonts w:asciiTheme="minorHAnsi" w:eastAsiaTheme="minorEastAsia" w:hAnsiTheme="minorHAnsi"/>
      <w:kern w:val="2"/>
      <w:sz w:val="21"/>
    </w:r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6">
    <w:name w:val="toc 6"/>
    <w:basedOn w:val="a1"/>
    <w:next w:val="a1"/>
    <w:autoRedefine/>
    <w:uiPriority w:val="39"/>
    <w:unhideWhenUsed/>
    <w:qFormat/>
    <w:pPr>
      <w:widowControl w:val="0"/>
      <w:spacing w:line="240" w:lineRule="auto"/>
      <w:ind w:leftChars="1000" w:left="2100" w:firstLineChars="0" w:firstLine="0"/>
      <w:jc w:val="both"/>
    </w:pPr>
    <w:rPr>
      <w:rFonts w:asciiTheme="minorHAnsi" w:eastAsiaTheme="minorEastAsia" w:hAnsiTheme="minorHAnsi"/>
      <w:kern w:val="2"/>
      <w:sz w:val="21"/>
    </w:rPr>
  </w:style>
  <w:style w:type="paragraph" w:styleId="TOC2">
    <w:name w:val="toc 2"/>
    <w:basedOn w:val="a1"/>
    <w:next w:val="a1"/>
    <w:autoRedefine/>
    <w:uiPriority w:val="39"/>
    <w:unhideWhenUsed/>
    <w:pPr>
      <w:ind w:leftChars="200" w:left="200" w:firstLineChars="0" w:firstLine="0"/>
    </w:pPr>
  </w:style>
  <w:style w:type="paragraph" w:styleId="TOC9">
    <w:name w:val="toc 9"/>
    <w:basedOn w:val="a1"/>
    <w:next w:val="a1"/>
    <w:autoRedefine/>
    <w:uiPriority w:val="39"/>
    <w:unhideWhenUsed/>
    <w:pPr>
      <w:widowControl w:val="0"/>
      <w:spacing w:line="240" w:lineRule="auto"/>
      <w:ind w:leftChars="1600" w:left="3360" w:firstLineChars="0" w:firstLine="0"/>
      <w:jc w:val="both"/>
    </w:pPr>
    <w:rPr>
      <w:rFonts w:asciiTheme="minorHAnsi" w:eastAsiaTheme="minorEastAsia" w:hAnsiTheme="minorHAnsi"/>
      <w:kern w:val="2"/>
      <w:sz w:val="21"/>
    </w:r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rFonts w:eastAsia="黑体"/>
      <w:b/>
      <w:iCs/>
      <w:sz w:val="32"/>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黑体" w:hAnsiTheme="majorHAnsi" w:cstheme="majorBidi"/>
      <w:bCs/>
      <w:sz w:val="30"/>
      <w:szCs w:val="28"/>
      <w:lang w:eastAsia="zh-CN"/>
    </w:rPr>
  </w:style>
  <w:style w:type="character" w:customStyle="1" w:styleId="22">
    <w:name w:val="标题 2 字符"/>
    <w:basedOn w:val="a2"/>
    <w:link w:val="21"/>
    <w:uiPriority w:val="9"/>
    <w:rsid w:val="00967EEF"/>
    <w:rPr>
      <w:rFonts w:asciiTheme="majorHAnsi" w:eastAsia="黑体" w:hAnsiTheme="majorHAnsi" w:cstheme="majorBidi"/>
      <w:bCs/>
      <w:sz w:val="28"/>
      <w:szCs w:val="26"/>
    </w:rPr>
  </w:style>
  <w:style w:type="character" w:customStyle="1" w:styleId="32">
    <w:name w:val="标题 3 字符"/>
    <w:basedOn w:val="a2"/>
    <w:link w:val="31"/>
    <w:uiPriority w:val="9"/>
    <w:rPr>
      <w:rFonts w:asciiTheme="majorHAnsi" w:eastAsia="黑体" w:hAnsiTheme="majorHAnsi" w:cstheme="majorBidi"/>
      <w:bCs/>
      <w:sz w:val="24"/>
      <w:szCs w:val="22"/>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rPr>
      <w:rFonts w:ascii="宋体" w:eastAsia="宋体" w:hAnsi="宋体"/>
      <w:sz w:val="24"/>
      <w:lang w:eastAsia="zh-CN"/>
    </w:rPr>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rPr>
      <w:rFonts w:asciiTheme="majorHAnsi" w:eastAsia="黑体" w:hAnsiTheme="majorHAnsi" w:cstheme="majorBidi"/>
      <w:bCs/>
      <w:iCs/>
      <w:sz w:val="24"/>
      <w:lang w:eastAsia="zh-CN"/>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paragraph" w:customStyle="1" w:styleId="TitleStyle">
    <w:name w:val="Title Style"/>
    <w:qFormat/>
    <w:pPr>
      <w:spacing w:after="480" w:line="276" w:lineRule="auto"/>
      <w:jc w:val="center"/>
    </w:pPr>
    <w:rPr>
      <w:rFonts w:ascii="黑体" w:eastAsia="黑体" w:hAnsi="黑体" w:cstheme="minorBidi"/>
      <w:b/>
      <w:sz w:val="44"/>
      <w:szCs w:val="22"/>
      <w:lang w:eastAsia="en-US"/>
    </w:rPr>
  </w:style>
  <w:style w:type="paragraph" w:customStyle="1" w:styleId="Heading1Style">
    <w:name w:val="Heading 1 Style"/>
    <w:qFormat/>
    <w:pPr>
      <w:spacing w:before="360" w:after="240" w:line="276" w:lineRule="auto"/>
    </w:pPr>
    <w:rPr>
      <w:rFonts w:ascii="黑体" w:eastAsia="黑体" w:hAnsi="黑体" w:cstheme="minorBidi"/>
      <w:b/>
      <w:sz w:val="32"/>
      <w:szCs w:val="22"/>
      <w:lang w:eastAsia="en-US"/>
    </w:rPr>
  </w:style>
  <w:style w:type="paragraph" w:customStyle="1" w:styleId="Heading2Style">
    <w:name w:val="Heading 2 Style"/>
    <w:qFormat/>
    <w:pPr>
      <w:spacing w:before="240" w:after="120" w:line="276" w:lineRule="auto"/>
    </w:pPr>
    <w:rPr>
      <w:rFonts w:ascii="黑体" w:eastAsia="黑体" w:hAnsi="黑体" w:cstheme="minorBidi"/>
      <w:b/>
      <w:sz w:val="28"/>
      <w:szCs w:val="22"/>
      <w:lang w:eastAsia="en-US"/>
    </w:rPr>
  </w:style>
  <w:style w:type="paragraph" w:customStyle="1" w:styleId="Heading3Style">
    <w:name w:val="Heading 3 Style"/>
    <w:qFormat/>
    <w:pPr>
      <w:spacing w:before="120" w:after="120" w:line="276" w:lineRule="auto"/>
    </w:pPr>
    <w:rPr>
      <w:rFonts w:ascii="黑体" w:eastAsia="黑体" w:hAnsi="黑体" w:cstheme="minorBidi"/>
      <w:b/>
      <w:sz w:val="26"/>
      <w:szCs w:val="22"/>
      <w:lang w:eastAsia="en-US"/>
    </w:rPr>
  </w:style>
  <w:style w:type="paragraph" w:customStyle="1" w:styleId="ListStyle">
    <w:name w:val="List Style"/>
    <w:qFormat/>
    <w:pPr>
      <w:spacing w:after="200" w:line="360" w:lineRule="auto"/>
      <w:ind w:left="420"/>
    </w:pPr>
    <w:rPr>
      <w:rFonts w:ascii="宋体" w:hAnsi="宋体" w:cstheme="minorBidi"/>
      <w:sz w:val="24"/>
      <w:szCs w:val="22"/>
      <w:lang w:eastAsia="en-US"/>
    </w:rPr>
  </w:style>
  <w:style w:type="paragraph" w:customStyle="1" w:styleId="CaptionStyle">
    <w:name w:val="Caption Style"/>
    <w:qFormat/>
    <w:pPr>
      <w:spacing w:before="120" w:after="240" w:line="276" w:lineRule="auto"/>
      <w:jc w:val="center"/>
    </w:pPr>
    <w:rPr>
      <w:rFonts w:ascii="宋体" w:hAnsi="宋体" w:cstheme="minorBidi"/>
      <w:b/>
      <w:sz w:val="21"/>
      <w:szCs w:val="22"/>
      <w:lang w:eastAsia="en-US"/>
    </w:rPr>
  </w:style>
  <w:style w:type="paragraph" w:customStyle="1" w:styleId="HighlightStyle">
    <w:name w:val="Highlight Style"/>
    <w:qFormat/>
    <w:pPr>
      <w:spacing w:after="200" w:line="360" w:lineRule="auto"/>
      <w:ind w:left="283" w:right="283"/>
    </w:pPr>
    <w:rPr>
      <w:rFonts w:ascii="宋体" w:hAnsi="宋体" w:cstheme="minorBidi"/>
      <w:b/>
      <w:sz w:val="22"/>
      <w:szCs w:val="22"/>
      <w:lang w:eastAsia="en-US"/>
    </w:rPr>
  </w:style>
  <w:style w:type="paragraph" w:customStyle="1" w:styleId="aff5">
    <w:name w:val="图表"/>
    <w:basedOn w:val="a1"/>
    <w:link w:val="aff6"/>
    <w:qFormat/>
    <w:pPr>
      <w:ind w:firstLineChars="0" w:firstLine="0"/>
      <w:jc w:val="both"/>
    </w:pPr>
    <w:rPr>
      <w:rFonts w:ascii="Times New Roman" w:hAnsi="Times New Roman"/>
      <w:kern w:val="2"/>
      <w14:ligatures w14:val="standardContextual"/>
    </w:rPr>
  </w:style>
  <w:style w:type="character" w:customStyle="1" w:styleId="aff6">
    <w:name w:val="图表 字符"/>
    <w:basedOn w:val="a2"/>
    <w:link w:val="aff5"/>
    <w:qFormat/>
    <w:rPr>
      <w:rFonts w:ascii="Times New Roman" w:eastAsia="宋体" w:hAnsi="Times New Roman"/>
      <w:kern w:val="2"/>
      <w:sz w:val="24"/>
      <w:lang w:eastAsia="zh-CN"/>
      <w14:ligatures w14:val="standardContextual"/>
    </w:rPr>
  </w:style>
  <w:style w:type="character" w:customStyle="1" w:styleId="19">
    <w:name w:val="未处理的提及1"/>
    <w:basedOn w:val="a2"/>
    <w:uiPriority w:val="99"/>
    <w:semiHidden/>
    <w:unhideWhenUsed/>
    <w:qFormat/>
    <w:rPr>
      <w:color w:val="605E5C"/>
      <w:shd w:val="clear" w:color="auto" w:fill="E1DFDD"/>
    </w:rPr>
  </w:style>
  <w:style w:type="paragraph" w:customStyle="1" w:styleId="CCIDGB23122">
    <w:name w:val="CCID_二级标题_楷体GB2312_三号_大纲2级"/>
    <w:next w:val="a1"/>
    <w:uiPriority w:val="3"/>
    <w:qFormat/>
    <w:pPr>
      <w:keepNext/>
      <w:widowControl w:val="0"/>
      <w:numPr>
        <w:ilvl w:val="1"/>
        <w:numId w:val="8"/>
      </w:numPr>
      <w:spacing w:beforeLines="50" w:before="156"/>
      <w:outlineLvl w:val="1"/>
    </w:pPr>
    <w:rPr>
      <w:rFonts w:eastAsia="楷体_GB2312" w:hAnsi="楷体_GB2312" w:cs="宋体"/>
      <w:b/>
      <w:kern w:val="2"/>
      <w:sz w:val="32"/>
      <w:szCs w:val="22"/>
      <w14:ligatures w14:val="standardContextual"/>
    </w:rPr>
  </w:style>
  <w:style w:type="character" w:styleId="aff7">
    <w:name w:val="annotation reference"/>
    <w:basedOn w:val="a2"/>
    <w:uiPriority w:val="99"/>
    <w:semiHidden/>
    <w:unhideWhenUsed/>
    <w:rsid w:val="00F4414F"/>
    <w:rPr>
      <w:sz w:val="21"/>
      <w:szCs w:val="21"/>
    </w:rPr>
  </w:style>
  <w:style w:type="paragraph" w:styleId="aff8">
    <w:name w:val="annotation text"/>
    <w:basedOn w:val="a1"/>
    <w:link w:val="aff9"/>
    <w:uiPriority w:val="99"/>
    <w:semiHidden/>
    <w:unhideWhenUsed/>
    <w:rsid w:val="00F4414F"/>
  </w:style>
  <w:style w:type="character" w:customStyle="1" w:styleId="aff9">
    <w:name w:val="批注文字 字符"/>
    <w:basedOn w:val="a2"/>
    <w:link w:val="aff8"/>
    <w:uiPriority w:val="99"/>
    <w:semiHidden/>
    <w:rsid w:val="00F4414F"/>
    <w:rPr>
      <w:rFonts w:ascii="宋体" w:hAnsi="宋体" w:cstheme="minorBidi"/>
      <w:sz w:val="24"/>
      <w:szCs w:val="22"/>
    </w:rPr>
  </w:style>
  <w:style w:type="paragraph" w:styleId="affa">
    <w:name w:val="annotation subject"/>
    <w:basedOn w:val="aff8"/>
    <w:next w:val="aff8"/>
    <w:link w:val="affb"/>
    <w:uiPriority w:val="99"/>
    <w:semiHidden/>
    <w:unhideWhenUsed/>
    <w:rsid w:val="00F4414F"/>
    <w:rPr>
      <w:b/>
      <w:bCs/>
    </w:rPr>
  </w:style>
  <w:style w:type="character" w:customStyle="1" w:styleId="affb">
    <w:name w:val="批注主题 字符"/>
    <w:basedOn w:val="aff9"/>
    <w:link w:val="affa"/>
    <w:uiPriority w:val="99"/>
    <w:semiHidden/>
    <w:rsid w:val="00F4414F"/>
    <w:rPr>
      <w:rFonts w:ascii="宋体" w:hAnsi="宋体" w:cstheme="minorBidi"/>
      <w:b/>
      <w:bCs/>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package" Target="embeddings/Microsoft_Visio_Drawing.vsdx"/><Relationship Id="rId2" Type="http://schemas.openxmlformats.org/officeDocument/2006/relationships/numbering" Target="numbering.xml"/><Relationship Id="rId16" Type="http://schemas.openxmlformats.org/officeDocument/2006/relationships/image" Target="media/image3.em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emf"/><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56</Pages>
  <Words>5326</Words>
  <Characters>30364</Characters>
  <Application>Microsoft Office Word</Application>
  <DocSecurity>0</DocSecurity>
  <Lines>253</Lines>
  <Paragraphs>71</Paragraphs>
  <ScaleCrop>false</ScaleCrop>
  <Company/>
  <LinksUpToDate>false</LinksUpToDate>
  <CharactersWithSpaces>35619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Moky</cp:lastModifiedBy>
  <cp:revision>45</cp:revision>
  <dcterms:created xsi:type="dcterms:W3CDTF">2013-12-23T23:15:00Z</dcterms:created>
  <dcterms:modified xsi:type="dcterms:W3CDTF">2026-07-31T03:42:00Z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eyJoZGlkIjoiN2ZkN2U0NTE2ZWZjNGNkOGYwMTY5ODIwZjEyYjUxNGMiLCJ1c2VySWQiOiIxNTQ1NTc4MDk0In0=</vt:lpwstr>
  </property>
  <property fmtid="{D5CDD505-2E9C-101B-9397-08002B2CF9AE}" pid="3" name="KSOProductBuildVer">
    <vt:lpwstr>2052-12.1.0.26895</vt:lpwstr>
  </property>
  <property fmtid="{D5CDD505-2E9C-101B-9397-08002B2CF9AE}" pid="4" name="ICV">
    <vt:lpwstr>35F0E54CF33144A4B037D093AD2A9C12_13</vt:lpwstr>
  </property>
</Properties>
</file>