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6BAFD">
      <w:pPr>
        <w:keepNext w:val="0"/>
        <w:keepLines w:val="0"/>
        <w:pageBreakBefore w:val="0"/>
        <w:widowControl w:val="0"/>
        <w:kinsoku/>
        <w:wordWrap/>
        <w:overflowPunct/>
        <w:topLinePunct w:val="0"/>
        <w:autoSpaceDE/>
        <w:autoSpaceDN/>
        <w:bidi w:val="0"/>
        <w:adjustRightInd/>
        <w:snapToGrid/>
        <w:spacing w:before="157" w:beforeLines="50" w:after="157" w:afterLines="50"/>
        <w:ind w:firstLine="0" w:firstLineChars="0"/>
        <w:jc w:val="center"/>
        <w:textAlignment w:val="auto"/>
        <w:outlineLvl w:val="0"/>
        <w:rPr>
          <w:rFonts w:hint="eastAsia" w:ascii="宋体" w:hAnsi="宋体"/>
          <w:sz w:val="32"/>
          <w:szCs w:val="32"/>
        </w:rPr>
      </w:pPr>
      <w:bookmarkStart w:id="0" w:name="_Toc22414"/>
      <w:r>
        <w:rPr>
          <w:rFonts w:hint="eastAsia" w:ascii="宋体" w:hAnsi="宋体"/>
          <w:sz w:val="32"/>
          <w:szCs w:val="32"/>
        </w:rPr>
        <w:t>基于质量校正模型的 NIPT 女胎异常判定及男胎最佳检测时点优化问题研究</w:t>
      </w:r>
    </w:p>
    <w:p w14:paraId="0DD99115">
      <w:pPr>
        <w:keepNext w:val="0"/>
        <w:keepLines w:val="0"/>
        <w:pageBreakBefore w:val="0"/>
        <w:widowControl w:val="0"/>
        <w:kinsoku/>
        <w:wordWrap/>
        <w:overflowPunct/>
        <w:topLinePunct w:val="0"/>
        <w:autoSpaceDE/>
        <w:autoSpaceDN/>
        <w:bidi w:val="0"/>
        <w:adjustRightInd/>
        <w:snapToGrid/>
        <w:spacing w:before="157" w:beforeLines="50" w:after="157" w:afterLines="50"/>
        <w:ind w:firstLine="0" w:firstLineChars="0"/>
        <w:jc w:val="center"/>
        <w:textAlignment w:val="auto"/>
        <w:outlineLvl w:val="0"/>
        <w:rPr>
          <w:rFonts w:hint="eastAsia"/>
        </w:rPr>
      </w:pPr>
      <w:r>
        <w:rPr>
          <w:rFonts w:hint="eastAsia" w:ascii="宋体" w:hAnsi="宋体"/>
          <w:sz w:val="28"/>
          <w:szCs w:val="24"/>
        </w:rPr>
        <w:t>摘</w:t>
      </w:r>
      <w:r>
        <w:rPr>
          <w:rFonts w:ascii="宋体" w:hAnsi="宋体"/>
          <w:sz w:val="28"/>
          <w:szCs w:val="24"/>
        </w:rPr>
        <w:t>要</w:t>
      </w:r>
      <w:bookmarkEnd w:id="0"/>
    </w:p>
    <w:p w14:paraId="610EE2F1">
      <w:pPr>
        <w:bidi w:val="0"/>
        <w:rPr>
          <w:rFonts w:hint="eastAsia"/>
          <w:lang w:val="en-US" w:eastAsia="zh-CN"/>
        </w:rPr>
      </w:pPr>
      <w:r>
        <w:rPr>
          <w:rFonts w:hint="eastAsia"/>
          <w:lang w:val="en-US" w:eastAsia="zh-CN"/>
        </w:rPr>
        <w:t>本文针对 NIPT 技术中男胎 Y 染色体浓度关联分析、BMI 分组及最佳检测时点优化、女胎异常判定四大核心问题，整合多元非线性回归、有序聚类、多目标优化等方法构建综合模型，为临床检测提供科学依据。</w:t>
      </w:r>
    </w:p>
    <w:p w14:paraId="76F8228A">
      <w:pPr>
        <w:bidi w:val="0"/>
        <w:rPr>
          <w:rFonts w:hint="eastAsia"/>
          <w:lang w:val="en-US" w:eastAsia="zh-CN"/>
        </w:rPr>
      </w:pPr>
      <w:r>
        <w:rPr>
          <w:rFonts w:hint="eastAsia"/>
          <w:lang w:val="en-US" w:eastAsia="zh-CN"/>
        </w:rPr>
        <w:t>针对问题一：首先通过 GC 含量筛选、读段比对质量校验、孕周格式统一、异常值剔除完成数据预处理；再通过 Spearman 秩相关分析筛选出 BMI、X 染色体浓度、GC 含量等显著影响因素；最终构建多元非线性回归模型，并通过 F 检验、t 检验及残差正态性检验验证模型有效性，模型决定系数达 0.6888，残差标准误差为 0.0284，可精准量化 Y 染色体浓度与关键指标的关联规律。</w:t>
      </w:r>
    </w:p>
    <w:p w14:paraId="24234685">
      <w:pPr>
        <w:bidi w:val="0"/>
        <w:rPr>
          <w:rFonts w:hint="eastAsia"/>
          <w:lang w:val="en-US" w:eastAsia="zh-CN"/>
        </w:rPr>
      </w:pPr>
      <w:r>
        <w:rPr>
          <w:rFonts w:hint="eastAsia"/>
          <w:lang w:val="en-US" w:eastAsia="zh-CN"/>
        </w:rPr>
        <w:t>针对问题二：先通过线性插值或问题一模型计算各孕妇 Y 染色体浓度达标时间；再采用有序聚类法，以 “组内达标时间离均差平方和最小” 为目标，结合临床经验确定 4 组最优 BMI 分组（样本量均≥30），并通过单因素方差分析验证组间差异显著；最后定义含复查风险的期望风险函数，遍历 12-25 周检测窗筛选每组最佳时点，结果显示 BMI 越高，最佳时点越晚（17 周→24 周）、期望风险越高（0.33→0.80），且检测误差对时点影响仅 0.1-0.5 周，模型鲁棒性强。</w:t>
      </w:r>
    </w:p>
    <w:p w14:paraId="0C81AD00">
      <w:pPr>
        <w:bidi w:val="0"/>
        <w:rPr>
          <w:rFonts w:hint="eastAsia"/>
          <w:lang w:val="en-US" w:eastAsia="zh-CN"/>
        </w:rPr>
      </w:pPr>
      <w:r>
        <w:rPr>
          <w:rFonts w:hint="eastAsia"/>
          <w:lang w:val="en-US" w:eastAsia="zh-CN"/>
        </w:rPr>
        <w:t>针对问题三：通过逐步回归法筛选出 BMI、孕妇年龄、原始读段数 3 个显著影响因素；升级风险函数为多因素加权形式，构建兼顾风险、达标率、假阴性率（≤5%）的多目标优化函数；采用蒙特卡洛模拟分析低 / 中 / 高误差影响，发现误差越大最佳时点越后移，且高 BMI 组对误差更敏感，测序质量误差为主要影响因素。</w:t>
      </w:r>
    </w:p>
    <w:p w14:paraId="1EF484C2">
      <w:pPr>
        <w:bidi w:val="0"/>
        <w:rPr>
          <w:rFonts w:hint="eastAsia"/>
          <w:lang w:val="en-US" w:eastAsia="zh-CN"/>
        </w:rPr>
      </w:pPr>
      <w:r>
        <w:rPr>
          <w:rFonts w:hint="eastAsia"/>
          <w:lang w:val="en-US" w:eastAsia="zh-CN"/>
        </w:rPr>
        <w:t>针对问题四：对 13/18/21/X 染色体 Z 值进行 “正常样本基准” 标准化以放大异常信号；引入 GC 含量、读段质量作为质量校正因子，下调测序异常样本的 Z 值权重；基于正常样本 Z 值分布确定 95% 置信区间判定阈值，核心染色体 Z 值达标且质量校正后仍超阈值则判定异常，多染色体超标标记为高风险，有效降低假阳性率。</w:t>
      </w:r>
    </w:p>
    <w:p w14:paraId="548198E2">
      <w:pPr>
        <w:bidi w:val="0"/>
        <w:rPr>
          <w:rFonts w:hint="eastAsia"/>
          <w:lang w:val="en-US" w:eastAsia="zh-CN"/>
        </w:rPr>
      </w:pPr>
      <w:r>
        <w:rPr>
          <w:rFonts w:hint="eastAsia"/>
          <w:lang w:val="en-US" w:eastAsia="zh-CN"/>
        </w:rPr>
        <w:t>后续可结合胎儿游离 RNA 等生物标志物，扩展模型对不同人群的适配性。</w:t>
      </w:r>
    </w:p>
    <w:p w14:paraId="049DDD03">
      <w:pPr>
        <w:widowControl/>
        <w:ind w:firstLine="0" w:firstLineChars="0"/>
        <w:jc w:val="left"/>
        <w:rPr>
          <w:b/>
          <w:bCs/>
          <w:color w:val="000000" w:themeColor="text1"/>
          <w:sz w:val="28"/>
          <w:szCs w:val="24"/>
          <w14:textFill>
            <w14:solidFill>
              <w14:schemeClr w14:val="tx1"/>
            </w14:solidFill>
          </w14:textFill>
        </w:rPr>
      </w:pPr>
      <w:r>
        <w:rPr>
          <w:rFonts w:hint="eastAsia" w:ascii="Times New Roman" w:hAnsi="Times New Roman" w:eastAsia="宋体" w:cstheme="minorBidi"/>
          <w:kern w:val="2"/>
          <w:sz w:val="24"/>
          <w:szCs w:val="22"/>
          <w:lang w:val="en-US" w:eastAsia="zh-CN" w:bidi="ar-SA"/>
        </w:rPr>
        <w:t>关键词：NIPT；多元非线性回归；有序聚类；多目标优化；女胎异常判定</w:t>
      </w:r>
    </w:p>
    <w:p w14:paraId="1032201F">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outlineLvl w:val="0"/>
      </w:pPr>
      <w:bookmarkStart w:id="1" w:name="_Toc27344"/>
      <w:bookmarkStart w:id="2" w:name="_Toc57576277"/>
      <w:r>
        <w:t>问题重述</w:t>
      </w:r>
      <w:bookmarkEnd w:id="1"/>
      <w:bookmarkEnd w:id="2"/>
    </w:p>
    <w:p w14:paraId="12FF7A9D">
      <w:pPr>
        <w:bidi w:val="0"/>
        <w:rPr>
          <w:rFonts w:hint="eastAsia"/>
          <w:lang w:val="en-US" w:eastAsia="zh-CN"/>
        </w:rPr>
      </w:pPr>
      <w:r>
        <w:rPr>
          <w:rFonts w:hint="eastAsia"/>
          <w:lang w:val="en-US" w:eastAsia="zh-CN"/>
        </w:rPr>
        <w:t>NIPT（无创产前检测）作为通过采集母体血液、检测胎儿游离 DNA 片段以分析胎儿染色体异常的产前检测技术，核心目标是早期确定胎儿健康状况，重点针对由 21 号、18 号、13 号染色体浓度异常引发的唐氏综合征、爱德华氏综合征、帕陶氏综合征。其准确性判定标准为：孕期 10-25 周内，男胎 Y 染色体浓度≥4% 或女胎 X 染色体浓度无异常；而胎儿异常发现时间与风险直接相关 ——12 周以内发现风险较低，13-27 周（中期）风险较高，28 周以后（晚期）风险极高，故需尽早检测以避免治疗窗口期缩短。</w:t>
      </w:r>
    </w:p>
    <w:p w14:paraId="0BD6345D">
      <w:pPr>
        <w:bidi w:val="0"/>
        <w:rPr>
          <w:rFonts w:hint="eastAsia"/>
          <w:lang w:val="en-US" w:eastAsia="zh-CN"/>
        </w:rPr>
      </w:pPr>
      <w:r>
        <w:rPr>
          <w:rFonts w:hint="eastAsia"/>
          <w:lang w:val="en-US" w:eastAsia="zh-CN"/>
        </w:rPr>
        <w:t>实践中，男胎 Y 染色体浓度与孕妇孕周数、身体质量指数（BMI）紧密相关，且附件提供了某地区以高 BMI 孕妇为主的 NIPT 数据，数据中存在测序失败（如检测时点过早、不确定因素）及多次采血 / 一次采血多次检测的情况。基于此，需围绕以下四个核心问题开展研究：</w:t>
      </w:r>
    </w:p>
    <w:p w14:paraId="1F01E486">
      <w:pPr>
        <w:bidi w:val="0"/>
        <w:rPr>
          <w:rFonts w:hint="eastAsia"/>
          <w:lang w:val="en-US" w:eastAsia="zh-CN"/>
        </w:rPr>
      </w:pPr>
      <w:r>
        <w:rPr>
          <w:rFonts w:hint="eastAsia"/>
          <w:lang w:val="en-US" w:eastAsia="zh-CN"/>
        </w:rPr>
        <w:t>问题 1：需明确胎儿 Y 染色体浓度与孕妇孕周数、BMI 的关联规律，并兼顾身高、体重、年龄等其他潜在影响指标，分析其相关特性；基于该特性构建 Y 染色体浓度与上述指标的定量关系模型，同时通过统计方法检验模型的显著性，确保模型对两者关联的解释具有统计学意义。</w:t>
      </w:r>
    </w:p>
    <w:p w14:paraId="494F3FDE">
      <w:pPr>
        <w:bidi w:val="0"/>
        <w:rPr>
          <w:rFonts w:hint="eastAsia"/>
          <w:lang w:val="en-US" w:eastAsia="zh-CN"/>
        </w:rPr>
      </w:pPr>
      <w:r>
        <w:rPr>
          <w:rFonts w:hint="eastAsia"/>
          <w:lang w:val="en-US" w:eastAsia="zh-CN"/>
        </w:rPr>
        <w:t>问题 2：已知男胎孕妇的 BMI 是影响胎儿 Y 染色体浓度 “达标时间”（即浓度首次达到或超过 4% 的最早时间）的主要因素。需针对男胎孕妇群体，设计合理的 BMI 分组方案，明确每组的 BMI 区间；并为每组确定最佳 NIPT 时点，使得孕妇因胎儿不健康导致的潜在风险最小化；此外，还需分析检测误差（如测序偏差、数据波动等）对 BMI 分组结果、最佳时点选择及风险评估的影响。</w:t>
      </w:r>
    </w:p>
    <w:p w14:paraId="081FE1D2">
      <w:pPr>
        <w:bidi w:val="0"/>
        <w:rPr>
          <w:rFonts w:hint="eastAsia"/>
          <w:lang w:val="en-US" w:eastAsia="zh-CN"/>
        </w:rPr>
      </w:pPr>
      <w:r>
        <w:rPr>
          <w:rFonts w:hint="eastAsia"/>
          <w:lang w:val="en-US" w:eastAsia="zh-CN"/>
        </w:rPr>
        <w:t>问题 3：男胎 Y 染色体浓度达标时间不仅受 BMI 影响，还与孕妇身高、体重、年龄等多种因素相关，同时需考虑检测误差及 “达标比例”（即检测中 Y 染色体浓度达到或超过 4% 的样本占比）。需综合上述因素，对男胎孕妇进行 BMI 合理分组，确定每组的最佳 NIPT 时点以实现潜在风险最小化；并进一步分析检测误差对分组合理性、最佳时点有效性及风险控制效果的影响。</w:t>
      </w:r>
    </w:p>
    <w:p w14:paraId="70CAD05D">
      <w:pPr>
        <w:bidi w:val="0"/>
      </w:pPr>
      <w:r>
        <w:rPr>
          <w:rFonts w:hint="eastAsia"/>
          <w:lang w:val="en-US" w:eastAsia="zh-CN"/>
        </w:rPr>
        <w:t>问题 4：由于孕妇与女胎均不携带 Y 染色体，女胎异常判定需以附件中 AB 列（13 号、18 号、21 号染色体非整倍体检测结果，空白代表无异常）为核心判定依</w:t>
      </w:r>
      <w:bookmarkStart w:id="30" w:name="_GoBack"/>
      <w:bookmarkEnd w:id="30"/>
      <w:r>
        <w:rPr>
          <w:rFonts w:hint="eastAsia"/>
          <w:lang w:val="en-US" w:eastAsia="zh-CN"/>
        </w:rPr>
        <w:t>据。需综合以下因素构建女胎异常的判定方法：X 染色体及 13 号、18 号、21 号染色体的 Z 值（通过 “待检测样本目标染色体相对计数比例与正常对照群体均值的差值除以正常群体标准差” 计算）、各染色体的 GC 含量（碱基 G 与 C 的占比，正常范围 40%-60%）、读段数相关指标（总读段数、比对比例、重复读段比例等）及孕妇 BMI，确保判定方法的科学性与准确性。</w:t>
      </w:r>
    </w:p>
    <w:p w14:paraId="6E4DD492">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outlineLvl w:val="0"/>
      </w:pPr>
      <w:bookmarkStart w:id="3" w:name="_Toc28431"/>
      <w:bookmarkStart w:id="4" w:name="_Toc57576278"/>
      <w:r>
        <w:t>问题分析</w:t>
      </w:r>
      <w:bookmarkEnd w:id="3"/>
      <w:bookmarkEnd w:id="4"/>
    </w:p>
    <w:p w14:paraId="2A5EC5D4">
      <w:pPr>
        <w:pStyle w:val="3"/>
        <w:spacing w:after="156"/>
        <w:ind w:left="240" w:leftChars="0" w:firstLineChars="0"/>
        <w:outlineLvl w:val="1"/>
      </w:pPr>
      <w:bookmarkStart w:id="5" w:name="_Toc32494"/>
      <w:r>
        <w:rPr>
          <w:rFonts w:hint="eastAsia"/>
        </w:rPr>
        <w:t>问题一的分析</w:t>
      </w:r>
      <w:bookmarkEnd w:id="5"/>
    </w:p>
    <w:p w14:paraId="12AF2DED">
      <w:pPr>
        <w:bidi w:val="0"/>
      </w:pPr>
      <w:r>
        <w:rPr>
          <w:rFonts w:hint="eastAsia"/>
          <w:lang w:val="en-US" w:eastAsia="zh-CN"/>
        </w:rPr>
        <w:t>问题一核心是量化 Y 染色体浓度与孕妇指标的关联并验证模型可靠性。首先需处理数据质量问题：剔除 GC 含量超标、读段比对比例过低的测序异常样本，统一孕周格式（离散转连续），结合箱线图与临床常识剔除 Y 浓度异常值（如负值、远超正常范围值），避免干扰分析。接着通过散点图定性观察到 Y 浓度与孕周的二次增长趋势、与 BMI 的递减趋势，再用 Spearman 秩相关筛选出 BMI、X 染色体浓度等显著相关因素，最终选择多元非线性回归模型（含交互项、对数变换）拟合关系，通过 F 检验、t 检验及残差正态性检验验证模型有效性。</w:t>
      </w:r>
    </w:p>
    <w:p w14:paraId="548FF5E7">
      <w:pPr>
        <w:pStyle w:val="3"/>
        <w:keepNext/>
        <w:keepLines/>
        <w:pageBreakBefore w:val="0"/>
        <w:widowControl w:val="0"/>
        <w:kinsoku/>
        <w:wordWrap/>
        <w:overflowPunct/>
        <w:topLinePunct w:val="0"/>
        <w:autoSpaceDE/>
        <w:autoSpaceDN/>
        <w:bidi w:val="0"/>
        <w:adjustRightInd/>
        <w:snapToGrid/>
        <w:spacing w:before="156" w:after="156"/>
        <w:ind w:left="240" w:leftChars="0" w:firstLineChars="0"/>
        <w:textAlignment w:val="auto"/>
        <w:outlineLvl w:val="1"/>
      </w:pPr>
      <w:bookmarkStart w:id="6" w:name="_Toc13671"/>
      <w:bookmarkStart w:id="7" w:name="_Toc57576279"/>
      <w:r>
        <w:rPr>
          <w:rFonts w:hint="eastAsia"/>
        </w:rPr>
        <w:t>问题</w:t>
      </w:r>
      <w:r>
        <w:rPr>
          <w:rFonts w:hint="eastAsia"/>
          <w:lang w:val="en-US" w:eastAsia="zh-CN"/>
        </w:rPr>
        <w:t>二</w:t>
      </w:r>
      <w:r>
        <w:rPr>
          <w:rFonts w:hint="eastAsia"/>
        </w:rPr>
        <w:t>的分析</w:t>
      </w:r>
      <w:bookmarkEnd w:id="6"/>
      <w:bookmarkEnd w:id="7"/>
    </w:p>
    <w:p w14:paraId="5FE4D44D">
      <w:pPr>
        <w:bidi w:val="0"/>
        <w:rPr>
          <w:rFonts w:hint="eastAsia"/>
          <w:lang w:val="en-US" w:eastAsia="zh-CN"/>
        </w:rPr>
      </w:pPr>
      <w:r>
        <w:rPr>
          <w:rFonts w:hint="eastAsia"/>
          <w:lang w:val="en-US" w:eastAsia="zh-CN"/>
        </w:rPr>
        <w:t>问题二需基于 BMI 分组确定最小风险检测时点，核心是平衡 “达标率” 与 “检测风险”。先通过线性插值或问题一模型计算每个孕妇的 Y 浓度达标时间，再定义含复查风险的期望风险函数。采用有序聚类法，以组内达标时间差异最小为目标，结合临床经验确定候选分割点，最终选定 4 组最优 BMI 分组；遍历检测窗口内时点，筛选出每组达标率≥90% 且期望风险最小的时点，发现 BMI 越高最佳时点越晚，同时验证检测误差对时点影响较小，模型鲁棒性强。</w:t>
      </w:r>
    </w:p>
    <w:p w14:paraId="4573AFC9">
      <w:pPr>
        <w:ind w:left="0" w:leftChars="0" w:firstLine="0" w:firstLineChars="0"/>
      </w:pPr>
    </w:p>
    <w:p w14:paraId="10693F92">
      <w:pPr>
        <w:pStyle w:val="3"/>
        <w:keepNext/>
        <w:keepLines/>
        <w:pageBreakBefore w:val="0"/>
        <w:widowControl w:val="0"/>
        <w:kinsoku/>
        <w:wordWrap/>
        <w:overflowPunct/>
        <w:topLinePunct w:val="0"/>
        <w:autoSpaceDE/>
        <w:autoSpaceDN/>
        <w:bidi w:val="0"/>
        <w:adjustRightInd/>
        <w:snapToGrid/>
        <w:spacing w:before="156" w:after="156"/>
        <w:ind w:left="240" w:leftChars="0" w:firstLineChars="0"/>
        <w:textAlignment w:val="auto"/>
        <w:outlineLvl w:val="1"/>
        <w:rPr>
          <w:rFonts w:hint="eastAsia"/>
        </w:rPr>
      </w:pPr>
      <w:bookmarkStart w:id="8" w:name="_Toc57576280"/>
      <w:bookmarkStart w:id="9" w:name="_Toc27630"/>
      <w:r>
        <w:rPr>
          <w:rFonts w:hint="eastAsia"/>
        </w:rPr>
        <w:t>问题</w:t>
      </w:r>
      <w:r>
        <w:rPr>
          <w:rFonts w:hint="eastAsia"/>
          <w:lang w:val="en-US" w:eastAsia="zh-CN"/>
        </w:rPr>
        <w:t>三</w:t>
      </w:r>
      <w:r>
        <w:rPr>
          <w:rFonts w:hint="eastAsia"/>
        </w:rPr>
        <w:t>的分析</w:t>
      </w:r>
      <w:bookmarkEnd w:id="8"/>
      <w:bookmarkEnd w:id="9"/>
    </w:p>
    <w:p w14:paraId="46E770AD">
      <w:pPr>
        <w:bidi w:val="0"/>
        <w:rPr>
          <w:rFonts w:hint="eastAsia"/>
          <w:lang w:val="en-US" w:eastAsia="zh-CN"/>
        </w:rPr>
      </w:pPr>
      <w:r>
        <w:rPr>
          <w:rFonts w:hint="eastAsia"/>
          <w:lang w:val="en-US" w:eastAsia="zh-CN"/>
        </w:rPr>
        <w:t>问题三在问题二基础上引入年龄、读段数等因素及多维度误差。通过逐步回归筛选出 BMI、高龄、原始读段数为显著影响因素，剔除身高、生产次数等无关项；升级风险函数为多因素加权形式，新增假阴性率约束，构建兼顾风险、达标率与漏诊率的目标函数。采用蒙特卡洛模拟分析误差影响，发现误差越大最佳时点越后移，且高 BMI 组对误差更敏感，测序质量误差是主导因素，需优先提升测序读段数。</w:t>
      </w:r>
    </w:p>
    <w:p w14:paraId="7D599866">
      <w:pPr>
        <w:pStyle w:val="3"/>
        <w:keepNext/>
        <w:keepLines/>
        <w:pageBreakBefore w:val="0"/>
        <w:widowControl w:val="0"/>
        <w:kinsoku/>
        <w:wordWrap/>
        <w:overflowPunct/>
        <w:topLinePunct w:val="0"/>
        <w:autoSpaceDE/>
        <w:autoSpaceDN/>
        <w:bidi w:val="0"/>
        <w:adjustRightInd/>
        <w:snapToGrid/>
        <w:spacing w:before="156" w:after="156"/>
        <w:ind w:left="240" w:leftChars="0" w:firstLineChars="0"/>
        <w:textAlignment w:val="auto"/>
        <w:outlineLvl w:val="1"/>
        <w:rPr>
          <w:rFonts w:hint="eastAsia"/>
        </w:rPr>
      </w:pPr>
      <w:r>
        <w:rPr>
          <w:rFonts w:hint="eastAsia"/>
        </w:rPr>
        <w:t>问题</w:t>
      </w:r>
      <w:r>
        <w:rPr>
          <w:rFonts w:hint="eastAsia"/>
          <w:lang w:val="en-US" w:eastAsia="zh-CN"/>
        </w:rPr>
        <w:t>四</w:t>
      </w:r>
      <w:r>
        <w:rPr>
          <w:rFonts w:hint="eastAsia"/>
        </w:rPr>
        <w:t>的分析</w:t>
      </w:r>
    </w:p>
    <w:p w14:paraId="3EF0ACF8">
      <w:pPr>
        <w:bidi w:val="0"/>
      </w:pPr>
      <w:r>
        <w:rPr>
          <w:rFonts w:hint="eastAsia"/>
          <w:lang w:val="en-US" w:eastAsia="zh-CN"/>
        </w:rPr>
        <w:t>问题四因女胎无 Y 染色体，需基于常染色体非整倍体结果构建判定规则。先对染色体 Z 值进行标准化处理，放大异常样本与正常样本的差异；将 GC 含量、读段质量指标作为质量校正因子，下调测序异常样本的 Z 值权重，避免假阳性；结合正常样本 Z 值分布确定 95% 置信区间判定阈值，核心染色体 Z 值达标且质量校正后仍超阈值则判定异常，多染色体超标标记为高风险，为临床诊断提供依据</w:t>
      </w:r>
    </w:p>
    <w:p w14:paraId="04874D23">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outlineLvl w:val="0"/>
      </w:pPr>
      <w:bookmarkStart w:id="10" w:name="_Toc57576281"/>
      <w:bookmarkStart w:id="11" w:name="_Toc22007"/>
      <w:r>
        <w:t>模型假设</w:t>
      </w:r>
      <w:bookmarkEnd w:id="10"/>
      <w:bookmarkEnd w:id="11"/>
    </w:p>
    <w:p w14:paraId="1C445863">
      <w:pPr>
        <w:numPr>
          <w:ilvl w:val="0"/>
          <w:numId w:val="2"/>
        </w:numPr>
        <w:rPr>
          <w:rFonts w:ascii="Segoe UI" w:hAnsi="Segoe UI" w:eastAsia="Segoe UI" w:cs="Segoe UI"/>
          <w:i w:val="0"/>
          <w:iCs w:val="0"/>
          <w:caps w:val="0"/>
          <w:spacing w:val="0"/>
          <w:sz w:val="24"/>
          <w:szCs w:val="24"/>
          <w:shd w:val="clear" w:fill="F9FAFB"/>
        </w:rPr>
      </w:pPr>
      <w:r>
        <w:rPr>
          <w:rFonts w:ascii="Segoe UI" w:hAnsi="Segoe UI" w:eastAsia="Segoe UI" w:cs="Segoe UI"/>
          <w:i w:val="0"/>
          <w:iCs w:val="0"/>
          <w:caps w:val="0"/>
          <w:spacing w:val="0"/>
          <w:sz w:val="24"/>
          <w:szCs w:val="24"/>
          <w:shd w:val="clear" w:fill="F9FAFB"/>
        </w:rPr>
        <w:t>设附件中 NIPT 检测的原始数据均符合临床检测规范</w:t>
      </w:r>
    </w:p>
    <w:p w14:paraId="61B5A123">
      <w:pPr>
        <w:numPr>
          <w:ilvl w:val="0"/>
          <w:numId w:val="2"/>
        </w:numPr>
        <w:rPr>
          <w:rFonts w:hint="default" w:ascii="Segoe UI" w:hAnsi="Segoe UI" w:eastAsia="Segoe UI" w:cs="Segoe UI"/>
          <w:i w:val="0"/>
          <w:iCs w:val="0"/>
          <w:caps w:val="0"/>
          <w:spacing w:val="0"/>
          <w:sz w:val="24"/>
          <w:szCs w:val="24"/>
          <w:shd w:val="clear" w:fill="F9FAFB"/>
          <w:lang w:val="en-US" w:eastAsia="zh-CN"/>
        </w:rPr>
      </w:pPr>
      <w:r>
        <w:rPr>
          <w:rFonts w:ascii="Segoe UI" w:hAnsi="Segoe UI" w:eastAsia="Segoe UI" w:cs="Segoe UI"/>
          <w:i w:val="0"/>
          <w:iCs w:val="0"/>
          <w:caps w:val="0"/>
          <w:spacing w:val="0"/>
          <w:sz w:val="24"/>
          <w:szCs w:val="24"/>
          <w:shd w:val="clear" w:fill="F9FAFB"/>
        </w:rPr>
        <w:t>假设女胎异常判定仅聚焦 13 号、18 号、21 号常染色体及 X 性染色体，暂不考虑其他染色体的非整倍体情况</w:t>
      </w:r>
    </w:p>
    <w:p w14:paraId="52FC9A70">
      <w:pPr>
        <w:numPr>
          <w:ilvl w:val="0"/>
          <w:numId w:val="2"/>
        </w:numPr>
        <w:rPr>
          <w:rFonts w:hint="default" w:ascii="Segoe UI" w:hAnsi="Segoe UI" w:eastAsia="Segoe UI" w:cs="Segoe UI"/>
          <w:i w:val="0"/>
          <w:iCs w:val="0"/>
          <w:caps w:val="0"/>
          <w:spacing w:val="0"/>
          <w:sz w:val="24"/>
          <w:szCs w:val="24"/>
          <w:shd w:val="clear" w:fill="F9FAFB"/>
          <w:lang w:val="en-US" w:eastAsia="zh-CN"/>
        </w:rPr>
      </w:pPr>
      <w:r>
        <w:rPr>
          <w:rFonts w:hint="default" w:ascii="Segoe UI" w:hAnsi="Segoe UI" w:eastAsia="Segoe UI" w:cs="Segoe UI"/>
          <w:i w:val="0"/>
          <w:iCs w:val="0"/>
          <w:caps w:val="0"/>
          <w:spacing w:val="0"/>
          <w:sz w:val="24"/>
          <w:szCs w:val="24"/>
          <w:shd w:val="clear" w:fill="F9FAFB"/>
          <w:lang w:val="en-US" w:eastAsia="zh-CN"/>
        </w:rPr>
        <w:t>假设 NIPT 检测过程中的环境条件</w:t>
      </w:r>
      <w:r>
        <w:rPr>
          <w:rFonts w:hint="eastAsia" w:ascii="Segoe UI" w:hAnsi="Segoe UI" w:eastAsia="Segoe UI" w:cs="Segoe UI"/>
          <w:i w:val="0"/>
          <w:iCs w:val="0"/>
          <w:caps w:val="0"/>
          <w:spacing w:val="0"/>
          <w:sz w:val="24"/>
          <w:szCs w:val="24"/>
          <w:shd w:val="clear" w:fill="F9FAFB"/>
          <w:lang w:val="en-US" w:eastAsia="zh-CN"/>
        </w:rPr>
        <w:t>\</w:t>
      </w:r>
      <w:r>
        <w:rPr>
          <w:rFonts w:hint="default" w:ascii="Segoe UI" w:hAnsi="Segoe UI" w:eastAsia="Segoe UI" w:cs="Segoe UI"/>
          <w:i w:val="0"/>
          <w:iCs w:val="0"/>
          <w:caps w:val="0"/>
          <w:spacing w:val="0"/>
          <w:sz w:val="24"/>
          <w:szCs w:val="24"/>
          <w:shd w:val="clear" w:fill="F9FAFB"/>
          <w:lang w:val="en-US" w:eastAsia="zh-CN"/>
        </w:rPr>
        <w:t>保持恒定，无剧烈波动，确保同一批次及不同批次检测数据的可比性，避免环境因素导致的读段比对比例、重复读段比例异常；</w:t>
      </w:r>
    </w:p>
    <w:p w14:paraId="37F10B64">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outlineLvl w:val="0"/>
        <w:rPr>
          <w:rFonts w:hint="eastAsia"/>
        </w:rPr>
      </w:pPr>
      <w:bookmarkStart w:id="12" w:name="_Toc57576282"/>
      <w:bookmarkStart w:id="13" w:name="_Toc23726"/>
      <w:r>
        <w:t>符号说明</w:t>
      </w:r>
      <w:bookmarkEnd w:id="12"/>
      <w:bookmarkEnd w:id="13"/>
    </w:p>
    <w:p w14:paraId="3EAFEE96">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sz w:val="24"/>
          <w:lang w:val="en-US" w:eastAsia="zh-CN"/>
        </w:rPr>
      </w:pPr>
      <w:r>
        <w:rPr>
          <w:rFonts w:hint="eastAsia"/>
          <w:sz w:val="24"/>
          <w:lang w:val="en-US" w:eastAsia="zh-CN"/>
        </w:rPr>
        <w:t>表1 本文的符号说明</w:t>
      </w:r>
    </w:p>
    <w:tbl>
      <w:tblPr>
        <w:tblStyle w:val="28"/>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2"/>
        <w:gridCol w:w="4451"/>
        <w:gridCol w:w="2927"/>
      </w:tblGrid>
      <w:tr w14:paraId="31391D6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tcBorders>
              <w:top w:val="single" w:color="auto" w:sz="12" w:space="0"/>
              <w:left w:val="nil"/>
              <w:bottom w:val="single" w:color="auto" w:sz="6" w:space="0"/>
              <w:right w:val="nil"/>
              <w:insideH w:val="single" w:sz="6" w:space="0"/>
              <w:insideV w:val="nil"/>
              <w:tl2br w:val="nil"/>
              <w:tr2bl w:val="nil"/>
            </w:tcBorders>
            <w:vAlign w:val="center"/>
          </w:tcPr>
          <w:p w14:paraId="71B6A234">
            <w:pPr>
              <w:ind w:firstLine="0" w:firstLineChars="0"/>
              <w:jc w:val="center"/>
              <w:rPr>
                <w:b/>
                <w:bCs/>
              </w:rPr>
            </w:pPr>
            <w:r>
              <w:rPr>
                <w:rFonts w:hint="eastAsia"/>
                <w:b/>
                <w:bCs/>
              </w:rPr>
              <w:t>符号</w:t>
            </w:r>
          </w:p>
        </w:tc>
        <w:tc>
          <w:tcPr>
            <w:tcW w:w="4451" w:type="dxa"/>
            <w:tcBorders>
              <w:top w:val="single" w:color="auto" w:sz="12" w:space="0"/>
              <w:bottom w:val="single" w:color="auto" w:sz="6" w:space="0"/>
              <w:right w:val="nil"/>
              <w:insideH w:val="single" w:sz="6" w:space="0"/>
              <w:insideV w:val="nil"/>
              <w:tl2br w:val="nil"/>
              <w:tr2bl w:val="nil"/>
            </w:tcBorders>
            <w:vAlign w:val="center"/>
          </w:tcPr>
          <w:p w14:paraId="3F2D755F">
            <w:pPr>
              <w:ind w:firstLine="0" w:firstLineChars="0"/>
              <w:jc w:val="center"/>
              <w:rPr>
                <w:b/>
                <w:bCs/>
              </w:rPr>
            </w:pPr>
            <w:r>
              <w:rPr>
                <w:rFonts w:hint="eastAsia"/>
                <w:b/>
                <w:bCs/>
              </w:rPr>
              <w:t>说明</w:t>
            </w:r>
          </w:p>
        </w:tc>
        <w:tc>
          <w:tcPr>
            <w:tcW w:w="2927" w:type="dxa"/>
            <w:tcBorders>
              <w:top w:val="single" w:color="auto" w:sz="12" w:space="0"/>
              <w:bottom w:val="single" w:color="auto" w:sz="6" w:space="0"/>
              <w:right w:val="nil"/>
              <w:insideH w:val="single" w:sz="6" w:space="0"/>
              <w:insideV w:val="nil"/>
              <w:tl2br w:val="nil"/>
              <w:tr2bl w:val="nil"/>
            </w:tcBorders>
            <w:vAlign w:val="center"/>
          </w:tcPr>
          <w:p w14:paraId="7A6B0A18">
            <w:pPr>
              <w:ind w:firstLine="0" w:firstLineChars="0"/>
              <w:jc w:val="center"/>
              <w:rPr>
                <w:b/>
                <w:bCs/>
              </w:rPr>
            </w:pPr>
            <w:r>
              <w:rPr>
                <w:rFonts w:hint="eastAsia"/>
                <w:b/>
                <w:bCs/>
              </w:rPr>
              <w:t>单位</w:t>
            </w:r>
          </w:p>
        </w:tc>
      </w:tr>
      <w:tr w14:paraId="636123C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vAlign w:val="center"/>
          </w:tcPr>
          <w:p w14:paraId="5F89A50D">
            <w:pPr>
              <w:keepNext w:val="0"/>
              <w:keepLines w:val="0"/>
              <w:widowControl/>
              <w:suppressLineNumbers w:val="0"/>
              <w:spacing w:before="0" w:beforeAutospacing="0" w:after="0" w:afterAutospacing="0" w:line="420" w:lineRule="atLeast"/>
              <w:ind w:left="0" w:leftChars="0" w:right="0" w:rightChars="0" w:firstLine="480" w:firstLineChars="200"/>
              <w:jc w:val="left"/>
            </w:pPr>
            <m:oMathPara>
              <m:oMath>
                <m:r>
                  <m:rPr>
                    <m:sty m:val="p"/>
                  </m:rPr>
                  <w:rPr>
                    <w:rFonts w:ascii="Cambria Math" w:hAnsi="Cambria Math"/>
                  </w:rPr>
                  <m:t>γ</m:t>
                </m:r>
              </m:oMath>
            </m:oMathPara>
          </w:p>
        </w:tc>
        <w:tc>
          <w:tcPr>
            <w:tcW w:w="4451" w:type="dxa"/>
            <w:vAlign w:val="center"/>
          </w:tcPr>
          <w:p w14:paraId="37986677">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胎儿 Y 染色体浓度</w:t>
            </w:r>
          </w:p>
        </w:tc>
        <w:tc>
          <w:tcPr>
            <w:tcW w:w="2927" w:type="dxa"/>
            <w:vAlign w:val="center"/>
          </w:tcPr>
          <w:p w14:paraId="0D59EC33">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无量纲</w:t>
            </w:r>
          </w:p>
        </w:tc>
      </w:tr>
      <w:tr w14:paraId="76B948C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vAlign w:val="center"/>
          </w:tcPr>
          <w:p w14:paraId="0F03A894">
            <w:pPr>
              <w:keepNext w:val="0"/>
              <w:keepLines w:val="0"/>
              <w:widowControl/>
              <w:suppressLineNumbers w:val="0"/>
              <w:spacing w:before="0" w:beforeAutospacing="0" w:after="0" w:afterAutospacing="0" w:line="420" w:lineRule="atLeast"/>
              <w:ind w:left="0" w:leftChars="0" w:right="0" w:rightChars="0" w:firstLine="480" w:firstLineChars="200"/>
              <w:jc w:val="left"/>
            </w:pPr>
            <m:oMathPara>
              <m:oMath>
                <m:r>
                  <m:rPr>
                    <m:sty m:val="p"/>
                  </m:rPr>
                  <w:rPr>
                    <w:rFonts w:ascii="Cambria Math" w:hAnsi="Cambria Math"/>
                  </w:rPr>
                  <m:t>τ</m:t>
                </m:r>
              </m:oMath>
            </m:oMathPara>
          </w:p>
        </w:tc>
        <w:tc>
          <w:tcPr>
            <w:tcW w:w="4451" w:type="dxa"/>
            <w:vAlign w:val="center"/>
          </w:tcPr>
          <w:p w14:paraId="24AD9111">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孕妇本次检测时的孕周</w:t>
            </w:r>
          </w:p>
        </w:tc>
        <w:tc>
          <w:tcPr>
            <w:tcW w:w="2927" w:type="dxa"/>
            <w:vAlign w:val="center"/>
          </w:tcPr>
          <w:p w14:paraId="78C4C124">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周</w:t>
            </w:r>
          </w:p>
        </w:tc>
      </w:tr>
      <w:tr w14:paraId="79BA675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vAlign w:val="center"/>
          </w:tcPr>
          <w:p w14:paraId="203FF793">
            <w:pPr>
              <w:keepNext w:val="0"/>
              <w:keepLines w:val="0"/>
              <w:widowControl/>
              <w:suppressLineNumbers w:val="0"/>
              <w:spacing w:before="0" w:beforeAutospacing="0" w:after="0" w:afterAutospacing="0" w:line="420" w:lineRule="atLeast"/>
              <w:ind w:left="0" w:leftChars="0" w:right="0" w:rightChars="0" w:firstLine="480" w:firstLineChars="200"/>
              <w:jc w:val="left"/>
            </w:pPr>
            <m:oMathPara>
              <m:oMath>
                <m:r>
                  <m:rPr>
                    <m:sty m:val="p"/>
                  </m:rPr>
                  <w:rPr>
                    <w:rFonts w:ascii="Cambria Math" w:hAnsi="Cambria Math"/>
                  </w:rPr>
                  <m:t>β</m:t>
                </m:r>
              </m:oMath>
            </m:oMathPara>
          </w:p>
        </w:tc>
        <w:tc>
          <w:tcPr>
            <w:tcW w:w="4451" w:type="dxa"/>
            <w:vAlign w:val="center"/>
          </w:tcPr>
          <w:p w14:paraId="4AC4E275">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孕妇身体质量指数</w:t>
            </w:r>
          </w:p>
        </w:tc>
        <w:tc>
          <w:tcPr>
            <w:tcW w:w="2927" w:type="dxa"/>
            <w:vAlign w:val="center"/>
          </w:tcPr>
          <w:p w14:paraId="36EA19FF">
            <w:pPr>
              <w:keepNext w:val="0"/>
              <w:keepLines w:val="0"/>
              <w:widowControl/>
              <w:suppressLineNumbers w:val="0"/>
              <w:spacing w:before="0" w:beforeAutospacing="0" w:after="0" w:afterAutospacing="0" w:line="420" w:lineRule="atLeast"/>
              <w:ind w:left="0" w:leftChars="0" w:right="0" w:rightChars="0" w:firstLine="480" w:firstLineChars="200"/>
              <w:jc w:val="left"/>
            </w:pPr>
          </w:p>
        </w:tc>
      </w:tr>
      <w:tr w14:paraId="68B8AC2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vAlign w:val="center"/>
          </w:tcPr>
          <w:p w14:paraId="2F3AE4A1">
            <w:pPr>
              <w:keepNext w:val="0"/>
              <w:keepLines w:val="0"/>
              <w:widowControl/>
              <w:suppressLineNumbers w:val="0"/>
              <w:spacing w:before="0" w:beforeAutospacing="0" w:after="0" w:afterAutospacing="0" w:line="420" w:lineRule="atLeast"/>
              <w:ind w:left="0" w:leftChars="0" w:right="0" w:rightChars="0" w:firstLine="480" w:firstLineChars="200"/>
              <w:jc w:val="left"/>
            </w:pPr>
            <m:oMathPara>
              <m:oMath>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hint="default" w:ascii="Cambria Math" w:hAnsi="Cambria Math"/>
                        <w:lang w:val="en-US" w:eastAsia="zh-CN"/>
                      </w:rPr>
                      <m:t>0</m:t>
                    </m:r>
                    <m:ctrlPr>
                      <w:rPr>
                        <w:rFonts w:ascii="Cambria Math" w:hAnsi="Cambria Math"/>
                        <w:i/>
                      </w:rPr>
                    </m:ctrlPr>
                  </m:sub>
                </m:sSub>
              </m:oMath>
            </m:oMathPara>
          </w:p>
        </w:tc>
        <w:tc>
          <w:tcPr>
            <w:tcW w:w="4451" w:type="dxa"/>
            <w:vAlign w:val="center"/>
          </w:tcPr>
          <w:p w14:paraId="703BD575">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胎儿 Y 染色体浓度首次达标时间</w:t>
            </w:r>
          </w:p>
        </w:tc>
        <w:tc>
          <w:tcPr>
            <w:tcW w:w="2927" w:type="dxa"/>
            <w:vAlign w:val="center"/>
          </w:tcPr>
          <w:p w14:paraId="3E69B134">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周</w:t>
            </w:r>
          </w:p>
        </w:tc>
      </w:tr>
      <w:tr w14:paraId="67827CB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vAlign w:val="center"/>
          </w:tcPr>
          <w:p w14:paraId="168FC5A6">
            <w:pPr>
              <w:keepNext w:val="0"/>
              <w:keepLines w:val="0"/>
              <w:widowControl/>
              <w:suppressLineNumbers w:val="0"/>
              <w:spacing w:before="0" w:beforeAutospacing="0" w:after="0" w:afterAutospacing="0" w:line="420" w:lineRule="atLeast"/>
              <w:ind w:left="0" w:leftChars="0" w:right="0" w:rightChars="0" w:firstLine="480" w:firstLineChars="200"/>
              <w:jc w:val="left"/>
              <w:rPr>
                <w:rFonts w:hint="eastAsia" w:eastAsia="宋体"/>
                <w:lang w:val="en-US" w:eastAsia="zh-CN"/>
              </w:rPr>
            </w:pPr>
            <m:oMathPara>
              <m:oMath>
                <m:r>
                  <m:rPr>
                    <m:sty m:val="p"/>
                  </m:rPr>
                  <w:rPr>
                    <w:rFonts w:hint="default" w:ascii="Cambria Math" w:hAnsi="Cambria Math" w:cstheme="minorBidi"/>
                    <w:kern w:val="2"/>
                    <w:sz w:val="24"/>
                    <w:szCs w:val="22"/>
                    <w:lang w:val="en-US" w:eastAsia="zh-CN" w:bidi="ar-SA"/>
                  </w:rPr>
                  <m:t>P</m:t>
                </m:r>
              </m:oMath>
            </m:oMathPara>
          </w:p>
        </w:tc>
        <w:tc>
          <w:tcPr>
            <w:tcW w:w="4451" w:type="dxa"/>
            <w:vAlign w:val="center"/>
          </w:tcPr>
          <w:p w14:paraId="6A26924D">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检测时点的 Y 染色体浓度达标率</w:t>
            </w:r>
          </w:p>
        </w:tc>
        <w:tc>
          <w:tcPr>
            <w:tcW w:w="2927" w:type="dxa"/>
            <w:vAlign w:val="center"/>
          </w:tcPr>
          <w:p w14:paraId="12A428D1">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无量纲</w:t>
            </w:r>
          </w:p>
        </w:tc>
      </w:tr>
      <w:tr w14:paraId="2A9B330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vAlign w:val="center"/>
          </w:tcPr>
          <w:p w14:paraId="0C1A0B11">
            <w:pPr>
              <w:keepNext w:val="0"/>
              <w:keepLines w:val="0"/>
              <w:widowControl/>
              <w:suppressLineNumbers w:val="0"/>
              <w:spacing w:before="0" w:beforeAutospacing="0" w:after="0" w:afterAutospacing="0" w:line="420" w:lineRule="atLeast"/>
              <w:ind w:left="0" w:leftChars="0" w:right="0" w:rightChars="0" w:firstLine="480" w:firstLineChars="200"/>
              <w:jc w:val="left"/>
            </w:pPr>
            <m:oMathPara>
              <m:oMath>
                <m:r>
                  <m:rPr>
                    <m:sty m:val="p"/>
                  </m:rPr>
                  <w:rPr>
                    <w:rFonts w:ascii="Cambria Math" w:hAnsi="Cambria Math"/>
                  </w:rPr>
                  <m:t>φ</m:t>
                </m:r>
              </m:oMath>
            </m:oMathPara>
          </w:p>
        </w:tc>
        <w:tc>
          <w:tcPr>
            <w:tcW w:w="4451" w:type="dxa"/>
            <w:vAlign w:val="center"/>
          </w:tcPr>
          <w:p w14:paraId="516B6BD3">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检测的假阴性率</w:t>
            </w:r>
          </w:p>
        </w:tc>
        <w:tc>
          <w:tcPr>
            <w:tcW w:w="2927" w:type="dxa"/>
            <w:vAlign w:val="center"/>
          </w:tcPr>
          <w:p w14:paraId="1F49D9C0">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无量纲</w:t>
            </w:r>
          </w:p>
        </w:tc>
      </w:tr>
      <w:tr w14:paraId="6EF5F49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82" w:type="dxa"/>
            <w:vAlign w:val="center"/>
          </w:tcPr>
          <w:p w14:paraId="536E7BC4">
            <w:pPr>
              <w:keepNext w:val="0"/>
              <w:keepLines w:val="0"/>
              <w:widowControl/>
              <w:suppressLineNumbers w:val="0"/>
              <w:spacing w:before="0" w:beforeAutospacing="0" w:after="0" w:afterAutospacing="0" w:line="420" w:lineRule="atLeast"/>
              <w:ind w:left="0" w:leftChars="0" w:right="0" w:rightChars="0" w:firstLine="480" w:firstLineChars="200"/>
              <w:jc w:val="left"/>
            </w:pPr>
            <m:oMathPara>
              <m:oMath>
                <m:sSup>
                  <m:sSupPr>
                    <m:ctrlPr>
                      <w:rPr>
                        <w:rFonts w:ascii="Cambria Math" w:hAnsi="Cambria Math"/>
                        <w:i/>
                      </w:rPr>
                    </m:ctrlPr>
                  </m:sSupPr>
                  <m:e>
                    <m:r>
                      <m:rPr/>
                      <w:rPr>
                        <w:rFonts w:hint="default" w:ascii="Cambria Math" w:hAnsi="Cambria Math"/>
                        <w:lang w:val="en-US" w:eastAsia="zh-CN"/>
                      </w:rPr>
                      <m:t>Z</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m:oMathPara>
          </w:p>
        </w:tc>
        <w:tc>
          <w:tcPr>
            <w:tcW w:w="4451" w:type="dxa"/>
            <w:vAlign w:val="center"/>
          </w:tcPr>
          <w:p w14:paraId="592093D0">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标准化后的染色体 Z 值</w:t>
            </w:r>
          </w:p>
        </w:tc>
        <w:tc>
          <w:tcPr>
            <w:tcW w:w="2927" w:type="dxa"/>
            <w:vAlign w:val="center"/>
          </w:tcPr>
          <w:p w14:paraId="5F0CEC28">
            <w:pPr>
              <w:keepNext w:val="0"/>
              <w:keepLines w:val="0"/>
              <w:widowControl/>
              <w:suppressLineNumbers w:val="0"/>
              <w:spacing w:before="0" w:beforeAutospacing="0" w:after="0" w:afterAutospacing="0" w:line="420" w:lineRule="atLeast"/>
              <w:ind w:left="0" w:leftChars="0" w:right="0" w:rightChars="0" w:firstLine="480" w:firstLineChars="200"/>
              <w:jc w:val="left"/>
            </w:pPr>
            <w:r>
              <w:rPr>
                <w:rFonts w:hint="default" w:ascii="Segoe UI" w:hAnsi="Segoe UI" w:eastAsia="Segoe UI" w:cs="Segoe UI"/>
                <w:i w:val="0"/>
                <w:iCs w:val="0"/>
                <w:caps w:val="0"/>
                <w:color w:val="000000"/>
                <w:spacing w:val="0"/>
                <w:kern w:val="0"/>
                <w:sz w:val="24"/>
                <w:szCs w:val="24"/>
                <w:lang w:val="en-US" w:eastAsia="zh-CN" w:bidi="ar"/>
              </w:rPr>
              <w:t>无量纲</w:t>
            </w:r>
          </w:p>
        </w:tc>
      </w:tr>
    </w:tbl>
    <w:p w14:paraId="2FE08E50">
      <w:pPr>
        <w:pStyle w:val="23"/>
        <w:numPr>
          <w:ilvl w:val="0"/>
          <w:numId w:val="0"/>
        </w:numPr>
        <w:rPr>
          <w:color w:val="FF0000"/>
        </w:rPr>
      </w:pPr>
    </w:p>
    <w:p w14:paraId="482B46ED">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outlineLvl w:val="0"/>
      </w:pPr>
      <w:bookmarkStart w:id="14" w:name="_Toc57576283"/>
      <w:bookmarkStart w:id="15" w:name="_Toc28934"/>
      <w:r>
        <w:t>模型建立与求解</w:t>
      </w:r>
      <w:bookmarkEnd w:id="14"/>
      <w:bookmarkEnd w:id="15"/>
    </w:p>
    <w:p w14:paraId="4D1EA567">
      <w:pPr>
        <w:ind w:left="0" w:leftChars="0" w:firstLine="0" w:firstLineChars="0"/>
        <w:rPr>
          <w:color w:val="000000" w:themeColor="text1"/>
          <w14:textFill>
            <w14:solidFill>
              <w14:schemeClr w14:val="tx1"/>
            </w14:solidFill>
          </w14:textFill>
        </w:rPr>
      </w:pPr>
      <w:bookmarkStart w:id="16" w:name="_Toc5559"/>
      <w:r>
        <w:rPr>
          <w:rFonts w:hint="eastAsia"/>
          <w:color w:val="000000" w:themeColor="text1"/>
          <w:lang w:val="en-US" w:eastAsia="zh-CN"/>
          <w14:textFill>
            <w14:solidFill>
              <w14:schemeClr w14:val="tx1"/>
            </w14:solidFill>
          </w14:textFill>
        </w:rPr>
        <w:t>5.1</w:t>
      </w:r>
      <w:r>
        <w:rPr>
          <w:rFonts w:hint="eastAsia"/>
          <w:color w:val="000000" w:themeColor="text1"/>
          <w14:textFill>
            <w14:solidFill>
              <w14:schemeClr w14:val="tx1"/>
            </w14:solidFill>
          </w14:textFill>
        </w:rPr>
        <w:t>问题一模型的建立与求解</w:t>
      </w:r>
      <w:bookmarkEnd w:id="16"/>
    </w:p>
    <w:p w14:paraId="63E7D5C2">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outlineLvl w:val="2"/>
        <w:rPr>
          <w:color w:val="000000" w:themeColor="text1"/>
          <w14:textFill>
            <w14:solidFill>
              <w14:schemeClr w14:val="tx1"/>
            </w14:solidFill>
          </w14:textFill>
        </w:rPr>
      </w:pPr>
      <w:bookmarkStart w:id="17" w:name="_Toc12522"/>
      <w:r>
        <w:rPr>
          <w:rFonts w:hint="eastAsia"/>
          <w:color w:val="000000" w:themeColor="text1"/>
          <w:lang w:val="en-US" w:eastAsia="zh-CN"/>
          <w14:textFill>
            <w14:solidFill>
              <w14:schemeClr w14:val="tx1"/>
            </w14:solidFill>
          </w14:textFill>
        </w:rPr>
        <w:t>数据预处理</w:t>
      </w:r>
      <w:bookmarkEnd w:id="17"/>
    </w:p>
    <w:p w14:paraId="396B8BFC">
      <w:pPr>
        <w:numPr>
          <w:ilvl w:val="0"/>
          <w:numId w:val="0"/>
        </w:numPr>
        <w:ind w:firstLine="480" w:firstLineChars="200"/>
        <w:rPr>
          <w:rFonts w:hint="eastAsia"/>
        </w:rPr>
      </w:pPr>
      <w:r>
        <w:rPr>
          <w:rFonts w:hint="eastAsia" w:ascii="Times New Roman" w:hAnsi="Times New Roman" w:eastAsia="宋体" w:cstheme="minorBidi"/>
          <w:kern w:val="2"/>
          <w:sz w:val="24"/>
          <w:szCs w:val="22"/>
          <w:lang w:val="en-US" w:eastAsia="zh-CN" w:bidi="ar-SA"/>
        </w:rPr>
        <w:t>(1)</w:t>
      </w:r>
      <w:r>
        <w:rPr>
          <w:rFonts w:hint="eastAsia"/>
        </w:rPr>
        <w:t>GC 含量异常筛选</w:t>
      </w:r>
    </w:p>
    <w:p w14:paraId="5F372A98">
      <w:pPr>
        <w:numPr>
          <w:numId w:val="0"/>
        </w:numPr>
        <w:ind w:firstLine="480" w:firstLineChars="200"/>
        <w:rPr>
          <w:rFonts w:hint="eastAsia"/>
        </w:rPr>
      </w:pPr>
      <w:r>
        <w:rPr>
          <w:rFonts w:hint="eastAsia"/>
        </w:rPr>
        <w:t>附录 1 明确 “正常 GC 含量范围为 40%~60%，GC 含量过高、过低或分布异常可能意味着测序质量存在问题”。因此，对附件 P 列（整体 GC 含量）、X 列（13 号染色体 GC 含量）、Y 列（18 号染色体 GC 含量）、Z 列（21 号染色体 GC 含量）进行联合判定，若任一染色体 GC 含量 &lt; 40% 或 &gt; 60%，则判定为测序质量异常。例如，样本 ID 为 A074 的孕妇，其 P 列 GC 含量为 38.2%（&lt;40%），且 X 列 13 号染色体 GC 含量为 62.5%（&gt;60%），属于典型质量异常样本，予以剔除</w:t>
      </w:r>
    </w:p>
    <w:p w14:paraId="5931625B">
      <w:pPr>
        <w:numPr>
          <w:numId w:val="0"/>
        </w:numPr>
        <w:ind w:firstLine="480" w:firstLineChars="200"/>
        <w:rPr>
          <w:rFonts w:hint="eastAsia"/>
          <w:lang w:val="en-US" w:eastAsia="zh-CN"/>
        </w:rPr>
      </w:pPr>
      <w:r>
        <w:rPr>
          <w:rFonts w:hint="eastAsia"/>
          <w:lang w:val="en-US" w:eastAsia="zh-CN"/>
        </w:rPr>
        <w:t>(2)读段比对质量筛选</w:t>
      </w:r>
    </w:p>
    <w:p w14:paraId="1FA7C0A2">
      <w:pPr>
        <w:numPr>
          <w:numId w:val="0"/>
        </w:numPr>
        <w:ind w:firstLine="480" w:firstLineChars="200"/>
        <w:rPr>
          <w:rFonts w:hint="eastAsia"/>
          <w:lang w:val="en-US" w:eastAsia="zh-CN"/>
        </w:rPr>
      </w:pPr>
      <w:r>
        <w:rPr>
          <w:rFonts w:hint="eastAsia"/>
          <w:lang w:val="en-US" w:eastAsia="zh-CN"/>
        </w:rPr>
        <w:t>附件 O 列为 “总读段数中唯一比对的读段数”，L 列为 “原始测序数据的总读段数”，二者的比值（O/L）反映读段与参考基因组的匹配精度 —— 比值越低，说明大量读段无法唯一匹配到基因组，Y 染色体浓度计算易受干扰。结合临床实践，设定阈值 O/L&lt;0.7 为比对质量差，剔除此类样本。例如,若某样本 O/L=0.68，则剔除。</w:t>
      </w:r>
    </w:p>
    <w:p w14:paraId="59551CE2">
      <w:pPr>
        <w:numPr>
          <w:numId w:val="0"/>
        </w:numPr>
        <w:ind w:firstLine="480" w:firstLineChars="200"/>
        <w:rPr>
          <w:rFonts w:hint="eastAsia"/>
          <w:lang w:val="en-US" w:eastAsia="zh-CN"/>
        </w:rPr>
      </w:pPr>
      <w:r>
        <w:rPr>
          <w:rFonts w:hint="eastAsia"/>
          <w:lang w:val="en-US" w:eastAsia="zh-CN"/>
        </w:rPr>
        <w:t>(3)孕周统一</w:t>
      </w:r>
    </w:p>
    <w:p w14:paraId="00EB6F4A">
      <w:pPr>
        <w:numPr>
          <w:numId w:val="0"/>
        </w:numPr>
        <w:ind w:firstLine="480" w:firstLineChars="200"/>
        <w:rPr>
          <w:rFonts w:hint="eastAsia"/>
          <w:lang w:val="en-US" w:eastAsia="zh-CN"/>
        </w:rPr>
      </w:pPr>
      <w:r>
        <w:rPr>
          <w:rFonts w:hint="eastAsia"/>
          <w:lang w:val="en-US" w:eastAsia="zh-CN"/>
        </w:rPr>
        <w:t>附件 J 列 “孕妇本次检测时的孕周” 格式为 “周数 + 天数”，此类离散格式存在单位不统一、无法直接参与线性建模的问题，需转换为连续数值型变量。根据孕周计算逻辑，将天数转换为周数的小数部分，公式为：</w:t>
      </w:r>
    </w:p>
    <w:p w14:paraId="1F9FBF72">
      <w:pPr>
        <w:numPr>
          <w:numId w:val="0"/>
        </w:numPr>
        <w:ind w:firstLine="480" w:firstLineChars="200"/>
        <w:jc w:val="center"/>
      </w:pPr>
      <w:r>
        <w:drawing>
          <wp:inline distT="0" distB="0" distL="114300" distR="114300">
            <wp:extent cx="1952625" cy="257175"/>
            <wp:effectExtent l="0" t="0" r="9525"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2"/>
                    <a:stretch>
                      <a:fillRect/>
                    </a:stretch>
                  </pic:blipFill>
                  <pic:spPr>
                    <a:xfrm>
                      <a:off x="0" y="0"/>
                      <a:ext cx="1952625" cy="257175"/>
                    </a:xfrm>
                    <a:prstGeom prst="rect">
                      <a:avLst/>
                    </a:prstGeom>
                    <a:noFill/>
                    <a:ln>
                      <a:noFill/>
                    </a:ln>
                  </pic:spPr>
                </pic:pic>
              </a:graphicData>
            </a:graphic>
          </wp:inline>
        </w:drawing>
      </w:r>
    </w:p>
    <w:p w14:paraId="035F6D61">
      <w:pPr>
        <w:numPr>
          <w:ilvl w:val="0"/>
          <w:numId w:val="0"/>
        </w:numPr>
        <w:ind w:left="0" w:leftChars="0" w:firstLine="480" w:firstLineChars="200"/>
        <w:jc w:val="both"/>
        <w:rPr>
          <w:rFonts w:hint="eastAsia"/>
          <w:lang w:val="en-US" w:eastAsia="zh-CN"/>
        </w:rPr>
      </w:pPr>
      <w:r>
        <w:rPr>
          <w:rFonts w:hint="eastAsia" w:ascii="Times New Roman" w:hAnsi="Times New Roman" w:eastAsia="宋体" w:cstheme="minorBidi"/>
          <w:kern w:val="2"/>
          <w:sz w:val="24"/>
          <w:szCs w:val="22"/>
          <w:lang w:val="en-US" w:eastAsia="zh-CN" w:bidi="ar-SA"/>
        </w:rPr>
        <w:t>(</w:t>
      </w:r>
      <w:r>
        <w:rPr>
          <w:rFonts w:hint="eastAsia" w:cstheme="minorBidi"/>
          <w:kern w:val="2"/>
          <w:sz w:val="24"/>
          <w:szCs w:val="22"/>
          <w:lang w:val="en-US" w:eastAsia="zh-CN" w:bidi="ar-SA"/>
        </w:rPr>
        <w:t>4</w:t>
      </w:r>
      <w:r>
        <w:rPr>
          <w:rFonts w:hint="eastAsia" w:ascii="Times New Roman" w:hAnsi="Times New Roman" w:eastAsia="宋体" w:cstheme="minorBidi"/>
          <w:kern w:val="2"/>
          <w:sz w:val="24"/>
          <w:szCs w:val="22"/>
          <w:lang w:val="en-US" w:eastAsia="zh-CN" w:bidi="ar-SA"/>
        </w:rPr>
        <w:t>)</w:t>
      </w:r>
      <w:r>
        <w:rPr>
          <w:rFonts w:hint="eastAsia"/>
          <w:lang w:val="en-US" w:eastAsia="zh-CN"/>
        </w:rPr>
        <w:t>BMI验证</w:t>
      </w:r>
    </w:p>
    <w:p w14:paraId="02A47CCB">
      <w:pPr>
        <w:numPr>
          <w:numId w:val="0"/>
        </w:numPr>
        <w:ind w:firstLine="480" w:firstLineChars="200"/>
        <w:jc w:val="both"/>
        <w:rPr>
          <w:rFonts w:hint="eastAsia"/>
          <w:lang w:val="en-US" w:eastAsia="zh-CN"/>
        </w:rPr>
      </w:pPr>
      <w:r>
        <w:rPr>
          <w:rFonts w:hint="default"/>
          <w:lang w:val="en-US" w:eastAsia="zh-CN"/>
        </w:rPr>
        <w:t>附件 K 列为 “孕妇 BMI 指标”，但实际数据录入过程中存在数值错位等误差，需基于原始身高与体重重新计算 BMI</w:t>
      </w:r>
      <w:r>
        <w:rPr>
          <w:rFonts w:hint="eastAsia"/>
          <w:lang w:val="en-US" w:eastAsia="zh-CN"/>
        </w:rPr>
        <w:t>,</w:t>
      </w:r>
      <w:r>
        <w:rPr>
          <w:rFonts w:hint="default"/>
          <w:lang w:val="en-US" w:eastAsia="zh-CN"/>
        </w:rPr>
        <w:t>依据 BMI 定义公式</w:t>
      </w:r>
      <w:r>
        <w:rPr>
          <w:rFonts w:hint="eastAsia"/>
          <w:lang w:val="en-US" w:eastAsia="zh-CN"/>
        </w:rPr>
        <w:t>:</w:t>
      </w:r>
    </w:p>
    <w:p w14:paraId="3855F0C8">
      <w:pPr>
        <w:numPr>
          <w:numId w:val="0"/>
        </w:numPr>
        <w:ind w:firstLine="480" w:firstLineChars="200"/>
        <w:jc w:val="center"/>
      </w:pPr>
      <w:r>
        <w:drawing>
          <wp:inline distT="0" distB="0" distL="114300" distR="114300">
            <wp:extent cx="1647825" cy="428625"/>
            <wp:effectExtent l="0" t="0" r="9525" b="952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3"/>
                    <a:stretch>
                      <a:fillRect/>
                    </a:stretch>
                  </pic:blipFill>
                  <pic:spPr>
                    <a:xfrm>
                      <a:off x="0" y="0"/>
                      <a:ext cx="1647825" cy="428625"/>
                    </a:xfrm>
                    <a:prstGeom prst="rect">
                      <a:avLst/>
                    </a:prstGeom>
                    <a:noFill/>
                    <a:ln>
                      <a:noFill/>
                    </a:ln>
                  </pic:spPr>
                </pic:pic>
              </a:graphicData>
            </a:graphic>
          </wp:inline>
        </w:drawing>
      </w:r>
    </w:p>
    <w:p w14:paraId="504D705E">
      <w:pPr>
        <w:numPr>
          <w:numId w:val="0"/>
        </w:numPr>
        <w:ind w:firstLine="480" w:firstLineChars="200"/>
        <w:jc w:val="both"/>
        <w:rPr>
          <w:rFonts w:hint="eastAsia"/>
          <w:lang w:val="en-US" w:eastAsia="zh-CN"/>
        </w:rPr>
      </w:pPr>
      <w:r>
        <w:rPr>
          <w:rFonts w:hint="eastAsia"/>
          <w:lang w:val="en-US" w:eastAsia="zh-CN"/>
        </w:rPr>
        <w:t>(5)异常值处理</w:t>
      </w:r>
    </w:p>
    <w:p w14:paraId="1303D10D">
      <w:pPr>
        <w:numPr>
          <w:numId w:val="0"/>
        </w:numPr>
        <w:ind w:firstLine="480" w:firstLineChars="200"/>
        <w:jc w:val="both"/>
        <w:rPr>
          <w:rFonts w:hint="eastAsia"/>
          <w:lang w:val="en-US" w:eastAsia="zh-CN"/>
        </w:rPr>
      </w:pPr>
      <w:r>
        <w:rPr>
          <w:rFonts w:hint="eastAsia"/>
          <w:lang w:val="en-US" w:eastAsia="zh-CN"/>
        </w:rPr>
        <w:t>箱线图原理：箱线图通过四分位数界定数据分布范围，其中 Q1 为下四分位数（25% 分位数），Q3 为上四分位数（75% 分位数），四分位距 IQR=Q3-Q1；通常将 “Q1-1.5×IQR” 以下、“Q3+1.5×IQR” 以上的数值定义为异常值；</w:t>
      </w:r>
    </w:p>
    <w:p w14:paraId="580F00A5">
      <w:pPr>
        <w:numPr>
          <w:numId w:val="0"/>
        </w:numPr>
        <w:ind w:firstLine="480" w:firstLineChars="200"/>
        <w:jc w:val="both"/>
        <w:rPr>
          <w:rFonts w:hint="eastAsia"/>
          <w:lang w:val="en-US" w:eastAsia="zh-CN"/>
        </w:rPr>
      </w:pPr>
      <w:r>
        <w:rPr>
          <w:rFonts w:hint="eastAsia"/>
          <w:lang w:val="en-US" w:eastAsia="zh-CN"/>
        </w:rPr>
        <w:t>临床合理性校验：结合 NIPT 临床实践，胎儿 Y 染色体浓度通常在 0.02~0.15 之间（即 2%~15%），若 V 列数值 &lt;0（浓度不可能为负）或&gt; 0.2（远超正常范围），即使未超出箱线图异常值范围，也判定为不合理异常值；异常值剔除：对 445 例样本的 V 列数据绘制箱线图，计算得 Q1=0.038，Q3=0.082，IQR=0.044，异常值上限 = 0.082+1.5×0.044=0.148，下限 = 0.038-1.5×0.044= -0.028。</w:t>
      </w:r>
    </w:p>
    <w:p w14:paraId="629AF536">
      <w:pPr>
        <w:numPr>
          <w:numId w:val="0"/>
        </w:numPr>
        <w:ind w:firstLine="480" w:firstLineChars="200"/>
        <w:jc w:val="center"/>
        <w:rPr>
          <w:rFonts w:hint="default"/>
          <w:lang w:val="en-US" w:eastAsia="zh-CN"/>
        </w:rPr>
      </w:pPr>
      <w:r>
        <w:rPr>
          <w:rFonts w:hint="default"/>
          <w:lang w:val="en-US" w:eastAsia="zh-CN"/>
        </w:rPr>
        <w:drawing>
          <wp:inline distT="0" distB="0" distL="114300" distR="114300">
            <wp:extent cx="2305050" cy="1854200"/>
            <wp:effectExtent l="0" t="0" r="0" b="1270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14"/>
                    <a:stretch>
                      <a:fillRect/>
                    </a:stretch>
                  </pic:blipFill>
                  <pic:spPr>
                    <a:xfrm>
                      <a:off x="0" y="0"/>
                      <a:ext cx="2305050" cy="1854200"/>
                    </a:xfrm>
                    <a:prstGeom prst="rect">
                      <a:avLst/>
                    </a:prstGeom>
                  </pic:spPr>
                </pic:pic>
              </a:graphicData>
            </a:graphic>
          </wp:inline>
        </w:drawing>
      </w:r>
    </w:p>
    <w:p w14:paraId="53405736">
      <w:pPr>
        <w:numPr>
          <w:ilvl w:val="0"/>
          <w:numId w:val="0"/>
        </w:numPr>
        <w:ind w:firstLine="480" w:firstLineChars="200"/>
        <w:rPr>
          <w:rFonts w:hint="eastAsia"/>
          <w:lang w:val="en-US" w:eastAsia="zh-CN"/>
        </w:rPr>
      </w:pPr>
    </w:p>
    <w:p w14:paraId="2B24662F">
      <w:pPr>
        <w:numPr>
          <w:numId w:val="0"/>
        </w:numPr>
        <w:ind w:firstLine="480" w:firstLineChars="200"/>
        <w:jc w:val="center"/>
        <w:rPr>
          <w:rFonts w:hint="eastAsia"/>
          <w:lang w:val="en-US" w:eastAsia="zh-CN"/>
        </w:rPr>
      </w:pPr>
    </w:p>
    <w:p w14:paraId="582F533D">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outlineLvl w:val="2"/>
        <w:rPr>
          <w:color w:val="000000" w:themeColor="text1"/>
          <w14:textFill>
            <w14:solidFill>
              <w14:schemeClr w14:val="tx1"/>
            </w14:solidFill>
          </w14:textFill>
        </w:rPr>
      </w:pPr>
      <w:bookmarkStart w:id="18" w:name="_Toc30769"/>
      <w:r>
        <w:rPr>
          <w:rFonts w:hint="eastAsia"/>
          <w:color w:val="000000" w:themeColor="text1"/>
          <w:lang w:val="en-US" w:eastAsia="zh-CN"/>
          <w14:textFill>
            <w14:solidFill>
              <w14:schemeClr w14:val="tx1"/>
            </w14:solidFill>
          </w14:textFill>
        </w:rPr>
        <w:t>问题一模型的建立</w:t>
      </w:r>
      <w:bookmarkEnd w:id="18"/>
      <w:r>
        <w:rPr>
          <w:rFonts w:hint="eastAsia"/>
          <w:color w:val="000000" w:themeColor="text1"/>
          <w:lang w:val="en-US" w:eastAsia="zh-CN"/>
          <w14:textFill>
            <w14:solidFill>
              <w14:schemeClr w14:val="tx1"/>
            </w14:solidFill>
          </w14:textFill>
        </w:rPr>
        <w:t>与求解</w:t>
      </w:r>
    </w:p>
    <w:p w14:paraId="4386A8A4">
      <w:pPr>
        <w:rPr>
          <w:rFonts w:hint="eastAsia"/>
        </w:rPr>
      </w:pPr>
      <w:r>
        <w:rPr>
          <w:rFonts w:hint="eastAsia"/>
          <w:lang w:eastAsia="zh-CN"/>
        </w:rPr>
        <w:t>（</w:t>
      </w:r>
      <w:r>
        <w:rPr>
          <w:rFonts w:hint="eastAsia"/>
          <w:lang w:val="en-US" w:eastAsia="zh-CN"/>
        </w:rPr>
        <w:t>1</w:t>
      </w:r>
      <w:r>
        <w:rPr>
          <w:rFonts w:hint="eastAsia"/>
          <w:lang w:eastAsia="zh-CN"/>
        </w:rPr>
        <w:t>）</w:t>
      </w:r>
      <w:r>
        <w:rPr>
          <w:rFonts w:hint="eastAsia"/>
        </w:rPr>
        <w:t>可视化分析</w:t>
      </w:r>
    </w:p>
    <w:p w14:paraId="0E6C2AEB">
      <w:pPr>
        <w:rPr>
          <w:rFonts w:hint="eastAsia"/>
        </w:rPr>
      </w:pPr>
      <w:r>
        <w:rPr>
          <w:rFonts w:hint="eastAsia"/>
        </w:rPr>
        <w:t>为了直观地观察 Y 染色体浓度与孕周、BMI 的关系，绘制了 Y 浓度与孕周、BMI 的散点图，并按孕妇代码分组着色。通过这种方式，可以初步查看是否存在如 Y 浓度随孕周递增、随 BMI 递减的非线性趋势。从散点图中，我们能够对变量之间的大致关系有一个直观的认识，为后续的定量分析提供方向。</w:t>
      </w:r>
    </w:p>
    <w:p w14:paraId="5628D2E7">
      <w:pPr>
        <w:jc w:val="center"/>
        <w:rPr>
          <w:rFonts w:hint="eastAsia" w:eastAsia="宋体"/>
          <w:lang w:eastAsia="zh-CN"/>
        </w:rPr>
      </w:pPr>
      <w:r>
        <w:rPr>
          <w:rFonts w:hint="eastAsia" w:eastAsia="宋体"/>
          <w:lang w:eastAsia="zh-CN"/>
        </w:rPr>
        <w:drawing>
          <wp:inline distT="0" distB="0" distL="114300" distR="114300">
            <wp:extent cx="4138295" cy="3449955"/>
            <wp:effectExtent l="0" t="0" r="14605" b="17145"/>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5"/>
                    <a:stretch>
                      <a:fillRect/>
                    </a:stretch>
                  </pic:blipFill>
                  <pic:spPr>
                    <a:xfrm>
                      <a:off x="0" y="0"/>
                      <a:ext cx="4138295" cy="3449955"/>
                    </a:xfrm>
                    <a:prstGeom prst="rect">
                      <a:avLst/>
                    </a:prstGeom>
                  </pic:spPr>
                </pic:pic>
              </a:graphicData>
            </a:graphic>
          </wp:inline>
        </w:drawing>
      </w:r>
    </w:p>
    <w:p w14:paraId="66765A94">
      <w:pPr>
        <w:rPr>
          <w:rFonts w:hint="eastAsia"/>
        </w:rPr>
      </w:pPr>
      <w:r>
        <w:rPr>
          <w:rFonts w:hint="eastAsia"/>
          <w:lang w:eastAsia="zh-CN"/>
        </w:rPr>
        <w:t>（</w:t>
      </w:r>
      <w:r>
        <w:rPr>
          <w:rFonts w:hint="eastAsia"/>
          <w:lang w:val="en-US" w:eastAsia="zh-CN"/>
        </w:rPr>
        <w:t>2</w:t>
      </w:r>
      <w:r>
        <w:rPr>
          <w:rFonts w:hint="eastAsia"/>
          <w:lang w:eastAsia="zh-CN"/>
        </w:rPr>
        <w:t>）</w:t>
      </w:r>
      <w:r>
        <w:rPr>
          <w:rFonts w:hint="eastAsia"/>
        </w:rPr>
        <w:t>定量相关检验</w:t>
      </w:r>
    </w:p>
    <w:p w14:paraId="7FC84D5A">
      <w:pPr>
        <w:rPr>
          <w:rFonts w:hint="eastAsia"/>
        </w:rPr>
      </w:pPr>
      <w:r>
        <w:rPr>
          <w:rFonts w:hint="eastAsia"/>
        </w:rPr>
        <w:t>对于连续变量，如孕周、BMI、年龄、原始读段数，分别计算 Spearman 秩相关系数。而 Spearman 秩相关系数则更适用于捕捉非线性关联。如果计算得到的 p 值小于 0.05，则判定该变量与 Y 染色体浓度显著相关。</w:t>
      </w:r>
    </w:p>
    <w:p w14:paraId="19A065A3">
      <w:pPr>
        <w:rPr>
          <w:rFonts w:hint="eastAsia" w:eastAsia="宋体"/>
          <w:lang w:eastAsia="zh-CN"/>
        </w:rPr>
      </w:pPr>
      <w:r>
        <w:rPr>
          <w:rFonts w:hint="eastAsia" w:eastAsia="宋体"/>
          <w:lang w:eastAsia="zh-CN"/>
        </w:rPr>
        <w:drawing>
          <wp:inline distT="0" distB="0" distL="114300" distR="114300">
            <wp:extent cx="4614545" cy="3840480"/>
            <wp:effectExtent l="0" t="0" r="14605" b="7620"/>
            <wp:docPr id="7"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16"/>
                    <a:stretch>
                      <a:fillRect/>
                    </a:stretch>
                  </pic:blipFill>
                  <pic:spPr>
                    <a:xfrm>
                      <a:off x="0" y="0"/>
                      <a:ext cx="4614545" cy="3840480"/>
                    </a:xfrm>
                    <a:prstGeom prst="rect">
                      <a:avLst/>
                    </a:prstGeom>
                  </pic:spPr>
                </pic:pic>
              </a:graphicData>
            </a:graphic>
          </wp:inline>
        </w:drawing>
      </w:r>
      <w:r>
        <w:rPr>
          <w:rFonts w:hint="eastAsia" w:eastAsia="宋体"/>
          <w:lang w:eastAsia="zh-CN"/>
        </w:rPr>
        <w:drawing>
          <wp:inline distT="0" distB="0" distL="114300" distR="114300">
            <wp:extent cx="5334000" cy="4000500"/>
            <wp:effectExtent l="0" t="0" r="0" b="0"/>
            <wp:docPr id="10" name="图片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
                    <pic:cNvPicPr>
                      <a:picLocks noChangeAspect="1"/>
                    </pic:cNvPicPr>
                  </pic:nvPicPr>
                  <pic:blipFill>
                    <a:blip r:embed="rId17"/>
                    <a:stretch>
                      <a:fillRect/>
                    </a:stretch>
                  </pic:blipFill>
                  <pic:spPr>
                    <a:xfrm>
                      <a:off x="0" y="0"/>
                      <a:ext cx="5334000" cy="4000500"/>
                    </a:xfrm>
                    <a:prstGeom prst="rect">
                      <a:avLst/>
                    </a:prstGeom>
                  </pic:spPr>
                </pic:pic>
              </a:graphicData>
            </a:graphic>
          </wp:inline>
        </w:drawing>
      </w:r>
    </w:p>
    <w:p w14:paraId="71559FC0">
      <w:pPr>
        <w:rPr>
          <w:rFonts w:hint="eastAsia"/>
        </w:rPr>
      </w:pPr>
    </w:p>
    <w:p w14:paraId="78595280">
      <w:pPr>
        <w:rPr>
          <w:rFonts w:hint="eastAsia"/>
        </w:rPr>
      </w:pPr>
      <w:r>
        <w:rPr>
          <w:rFonts w:hint="eastAsia"/>
        </w:rPr>
        <w:t>Y 染色体浓度的核心关联特征是：与X 染色体浓度强正相关</w:t>
      </w:r>
      <w:r>
        <w:rPr>
          <w:rFonts w:hint="eastAsia"/>
          <w:lang w:eastAsia="zh-CN"/>
        </w:rPr>
        <w:t>、</w:t>
      </w:r>
      <w:r>
        <w:rPr>
          <w:rFonts w:hint="eastAsia"/>
          <w:lang w:val="en-US" w:eastAsia="zh-CN"/>
        </w:rPr>
        <w:t>与</w:t>
      </w:r>
      <w:r>
        <w:rPr>
          <w:rFonts w:hint="eastAsia"/>
        </w:rPr>
        <w:t>BMI</w:t>
      </w:r>
      <w:r>
        <w:rPr>
          <w:rFonts w:hint="eastAsia"/>
          <w:lang w:val="en-US" w:eastAsia="zh-CN"/>
        </w:rPr>
        <w:t>呈现强负相关</w:t>
      </w:r>
      <w:r>
        <w:rPr>
          <w:rFonts w:hint="eastAsia"/>
        </w:rPr>
        <w:t>，与其他（年龄、身高、体重、孕周、GC 含量、各染色体 Z 值）</w:t>
      </w:r>
      <w:r>
        <w:rPr>
          <w:rFonts w:hint="eastAsia"/>
          <w:lang w:val="en-US" w:eastAsia="zh-CN"/>
        </w:rPr>
        <w:t>相关性不强</w:t>
      </w:r>
      <w:r>
        <w:rPr>
          <w:rFonts w:hint="eastAsia"/>
        </w:rPr>
        <w:t>。</w:t>
      </w:r>
    </w:p>
    <w:p w14:paraId="7ADE4E66">
      <w:pPr>
        <w:rPr>
          <w:rFonts w:hint="eastAsia"/>
        </w:rPr>
      </w:pPr>
      <w:r>
        <w:rPr>
          <w:rFonts w:hint="eastAsia"/>
        </w:rPr>
        <w:t>染色体 Z 值的关联特征是：常染色体内部、性染色体内部分别呈较强正相关，但常染色体与性染色体之间无明显相关。</w:t>
      </w:r>
    </w:p>
    <w:p w14:paraId="396C08EE">
      <w:pPr>
        <w:keepNext w:val="0"/>
        <w:keepLines w:val="0"/>
        <w:widowControl/>
        <w:suppressLineNumbers w:val="0"/>
        <w:jc w:val="left"/>
      </w:pPr>
      <w:r>
        <w:rPr>
          <w:rFonts w:hint="eastAsia"/>
          <w:lang w:eastAsia="zh-CN"/>
        </w:rPr>
        <w:t>（</w:t>
      </w:r>
      <w:r>
        <w:rPr>
          <w:rFonts w:hint="eastAsia"/>
          <w:lang w:val="en-US" w:eastAsia="zh-CN"/>
        </w:rPr>
        <w:t>3</w:t>
      </w:r>
      <w:r>
        <w:rPr>
          <w:rFonts w:hint="eastAsia"/>
          <w:lang w:eastAsia="zh-CN"/>
        </w:rPr>
        <w:t>）</w:t>
      </w:r>
      <w:r>
        <w:rPr>
          <w:rFonts w:hint="eastAsia" w:ascii="宋体" w:hAnsi="宋体" w:eastAsia="宋体" w:cs="宋体"/>
          <w:color w:val="000000"/>
          <w:kern w:val="0"/>
          <w:sz w:val="21"/>
          <w:szCs w:val="21"/>
          <w:lang w:val="en-US" w:eastAsia="zh-CN" w:bidi="ar"/>
        </w:rPr>
        <w:t>给出相应的关系模型</w:t>
      </w:r>
    </w:p>
    <w:p w14:paraId="2402C292">
      <w:pPr>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为定量探究 Y 染色体浓度与多个影响因素之间的非线性关系，本研究采用多元非线性回归模型进行拟合。通过该模型可揭示变量间复杂的非线性关联，为 Y 染色体浓度的预测和影响机制分析提供量化依据。结合前期散点图观察到的非线性趋势（如 Y 浓度随孕周呈二次曲线变化、与 BMI 存在交互效应）</w:t>
      </w:r>
      <w:r>
        <w:rPr>
          <w:rFonts w:hint="eastAsia" w:ascii="Segoe UI" w:hAnsi="Segoe UI" w:cs="Segoe UI"/>
          <w:i w:val="0"/>
          <w:iCs w:val="0"/>
          <w:caps w:val="0"/>
          <w:spacing w:val="0"/>
          <w:sz w:val="24"/>
          <w:szCs w:val="24"/>
          <w:shd w:val="clear" w:fill="FFFFFF"/>
          <w:lang w:eastAsia="zh-CN"/>
        </w:rPr>
        <w:t>，</w:t>
      </w:r>
      <w:r>
        <w:rPr>
          <w:rFonts w:hint="eastAsia" w:ascii="Segoe UI" w:hAnsi="Segoe UI" w:cs="Segoe UI"/>
          <w:i w:val="0"/>
          <w:iCs w:val="0"/>
          <w:caps w:val="0"/>
          <w:spacing w:val="0"/>
          <w:sz w:val="24"/>
          <w:szCs w:val="24"/>
          <w:shd w:val="clear" w:fill="FFFFFF"/>
          <w:lang w:val="en-US" w:eastAsia="zh-CN"/>
        </w:rPr>
        <w:t>X为与Y染色体浓度相关性较高的因素</w:t>
      </w:r>
      <w:r>
        <w:rPr>
          <w:rFonts w:ascii="Segoe UI" w:hAnsi="Segoe UI" w:eastAsia="Segoe UI" w:cs="Segoe UI"/>
          <w:i w:val="0"/>
          <w:iCs w:val="0"/>
          <w:caps w:val="0"/>
          <w:spacing w:val="0"/>
          <w:sz w:val="24"/>
          <w:szCs w:val="24"/>
          <w:shd w:val="clear" w:fill="FFFFFF"/>
        </w:rPr>
        <w:t>，设定模型形式</w:t>
      </w:r>
    </w:p>
    <w:p w14:paraId="1366103D">
      <w:r>
        <w:drawing>
          <wp:inline distT="0" distB="0" distL="114300" distR="114300">
            <wp:extent cx="3733800" cy="504825"/>
            <wp:effectExtent l="0" t="0" r="0"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8"/>
                    <a:stretch>
                      <a:fillRect/>
                    </a:stretch>
                  </pic:blipFill>
                  <pic:spPr>
                    <a:xfrm>
                      <a:off x="0" y="0"/>
                      <a:ext cx="3733800" cy="504825"/>
                    </a:xfrm>
                    <a:prstGeom prst="rect">
                      <a:avLst/>
                    </a:prstGeom>
                    <a:noFill/>
                    <a:ln>
                      <a:noFill/>
                    </a:ln>
                  </pic:spPr>
                </pic:pic>
              </a:graphicData>
            </a:graphic>
          </wp:inline>
        </w:drawing>
      </w:r>
    </w:p>
    <w:p w14:paraId="1F9FC9D1"/>
    <w:p w14:paraId="0FD8991D"/>
    <w:p w14:paraId="192BB473">
      <w:pPr>
        <w:rPr>
          <w:rFonts w:hint="eastAsia"/>
        </w:rPr>
      </w:pPr>
      <w:r>
        <w:rPr>
          <w:rFonts w:hint="eastAsia"/>
        </w:rPr>
        <w:t>年龄（\(x_1\)）和孕周（\(x_5\)）的二次项（捕捉二次曲线趋势）；BMI（\(x_6\)）与 X 染色体浓度（\(x_{13}\)）的交互项（反映协同效应）；GC 含量（\(x_7\)）的对数项（缓解数据偏态分布）；Y 染色体 Z 值（\(x_{12}\)）的指数项（捕捉指数增长趋势）</w:t>
      </w:r>
    </w:p>
    <w:p w14:paraId="68DA5E24">
      <w:pPr>
        <w:rPr>
          <w:rFonts w:hint="eastAsia"/>
        </w:rPr>
      </w:pPr>
      <w:r>
        <w:rPr>
          <w:rFonts w:hint="eastAsia"/>
        </w:rPr>
        <w:t>模型评估指标：决定系数\(R^2\)：衡量模型对数据的解释能力（\(R^2 \in [0,1]\)，越接近 1 越好）；调整后\(R^2\)：修正样本量和自变量数量对\(R^2\)的影响；残差标准误差（RMSE）：反映预测值与实际值的平均偏差（越小越好）；残差分析：通过残差正态性检验（Shapiro-Wilk 检验）和残差 - 拟合值散点图，验证模型假设（误差独立、同方差、正态分布）。</w:t>
      </w:r>
    </w:p>
    <w:p w14:paraId="2473EA59">
      <w:pPr>
        <w:rPr>
          <w:rFonts w:hint="eastAsia"/>
        </w:rPr>
      </w:pPr>
    </w:p>
    <w:p w14:paraId="62118623">
      <w:pPr>
        <w:rPr>
          <w:rFonts w:hint="eastAsia"/>
        </w:rPr>
      </w:pPr>
      <w:r>
        <w:rPr>
          <w:rFonts w:hint="eastAsia"/>
        </w:rPr>
        <w:t>估计的参数:</w:t>
      </w:r>
    </w:p>
    <w:p w14:paraId="749F7622">
      <w:pPr>
        <w:rPr>
          <w:rFonts w:hint="eastAsia"/>
        </w:rPr>
      </w:pPr>
      <w:r>
        <w:rPr>
          <w:rFonts w:hint="eastAsia"/>
        </w:rPr>
        <w:t>beta0: 0.2893</w:t>
      </w:r>
    </w:p>
    <w:p w14:paraId="79E8ED28">
      <w:pPr>
        <w:rPr>
          <w:rFonts w:hint="eastAsia"/>
        </w:rPr>
      </w:pPr>
      <w:r>
        <w:rPr>
          <w:rFonts w:hint="eastAsia"/>
        </w:rPr>
        <w:t>beta5: -0.0021</w:t>
      </w:r>
    </w:p>
    <w:p w14:paraId="7923B304">
      <w:pPr>
        <w:rPr>
          <w:rFonts w:hint="eastAsia"/>
        </w:rPr>
      </w:pPr>
      <w:r>
        <w:rPr>
          <w:rFonts w:hint="eastAsia"/>
        </w:rPr>
        <w:t>beta6: 0.0129</w:t>
      </w:r>
    </w:p>
    <w:p w14:paraId="3EDBE1E5">
      <w:pPr>
        <w:rPr>
          <w:rFonts w:hint="eastAsia"/>
        </w:rPr>
      </w:pPr>
      <w:r>
        <w:rPr>
          <w:rFonts w:hint="eastAsia"/>
        </w:rPr>
        <w:t>beta7: -0.4972</w:t>
      </w:r>
    </w:p>
    <w:p w14:paraId="5B649434">
      <w:pPr>
        <w:rPr>
          <w:rFonts w:hint="eastAsia"/>
        </w:rPr>
      </w:pPr>
    </w:p>
    <w:p w14:paraId="328275FF">
      <w:pPr>
        <w:rPr>
          <w:rFonts w:hint="eastAsia"/>
        </w:rPr>
      </w:pPr>
      <w:r>
        <w:rPr>
          <w:rFonts w:hint="eastAsia"/>
        </w:rPr>
        <w:t>模型评估指标:</w:t>
      </w:r>
    </w:p>
    <w:p w14:paraId="47CCFE7A">
      <w:pPr>
        <w:rPr>
          <w:rFonts w:hint="eastAsia"/>
        </w:rPr>
      </w:pPr>
      <w:r>
        <w:rPr>
          <w:rFonts w:hint="eastAsia"/>
        </w:rPr>
        <w:t>决定系数 R^2: 0.</w:t>
      </w:r>
      <w:r>
        <w:rPr>
          <w:rFonts w:hint="eastAsia"/>
          <w:lang w:val="en-US" w:eastAsia="zh-CN"/>
        </w:rPr>
        <w:t>6</w:t>
      </w:r>
      <w:r>
        <w:rPr>
          <w:rFonts w:hint="eastAsia"/>
        </w:rPr>
        <w:t>888</w:t>
      </w:r>
    </w:p>
    <w:p w14:paraId="640BB742">
      <w:pPr>
        <w:rPr>
          <w:rFonts w:hint="eastAsia"/>
        </w:rPr>
      </w:pPr>
      <w:r>
        <w:rPr>
          <w:rFonts w:hint="eastAsia"/>
        </w:rPr>
        <w:t>残差标准误差 RMSE: 0.0284</w:t>
      </w:r>
    </w:p>
    <w:p w14:paraId="3CAFACC7">
      <w:pPr>
        <w:rPr>
          <w:rFonts w:hint="eastAsia"/>
        </w:rPr>
      </w:pPr>
    </w:p>
    <w:p w14:paraId="13BF0545">
      <w:pPr>
        <w:rPr>
          <w:rFonts w:hint="default" w:eastAsia="宋体"/>
          <w:lang w:val="en-US" w:eastAsia="zh-CN"/>
        </w:rPr>
      </w:pPr>
      <m:oMath>
        <m:r>
          <m:rPr>
            <m:sty m:val="p"/>
          </m:rPr>
          <w:rPr>
            <w:rFonts w:hint="eastAsia" w:ascii="Cambria Math" w:hAnsi="Cambria Math" w:cstheme="minorBidi"/>
            <w:kern w:val="2"/>
            <w:sz w:val="24"/>
            <w:szCs w:val="22"/>
            <w:lang w:val="en-US" w:eastAsia="zh-CN" w:bidi="ar-SA"/>
          </w:rPr>
          <m:t>y</m:t>
        </m:r>
        <m:r>
          <m:rPr>
            <m:sty m:val="p"/>
          </m:rPr>
          <w:rPr>
            <w:rFonts w:hint="default" w:ascii="Cambria Math" w:hAnsi="Cambria Math" w:cstheme="minorBidi"/>
            <w:kern w:val="2"/>
            <w:sz w:val="24"/>
            <w:szCs w:val="22"/>
            <w:lang w:val="en-US" w:eastAsia="zh-CN" w:bidi="ar-SA"/>
          </w:rPr>
          <m:t>=</m:t>
        </m:r>
        <m:r>
          <m:rPr>
            <m:sty m:val="p"/>
          </m:rPr>
          <w:rPr>
            <w:rFonts w:hint="eastAsia"/>
          </w:rPr>
          <m:t xml:space="preserve"> 0.2893 </m:t>
        </m:r>
        <m:r>
          <m:rPr>
            <m:sty m:val="p"/>
          </m:rPr>
          <w:rPr>
            <w:rFonts w:hint="eastAsia"/>
            <w:lang w:val="en-US" w:eastAsia="zh-CN"/>
          </w:rPr>
          <m:t>x</m:t>
        </m:r>
        <m:r>
          <m:rPr>
            <m:sty m:val="p"/>
          </m:rPr>
          <w:rPr>
            <w:rFonts w:hint="default"/>
            <w:lang w:val="en-US" w:eastAsia="zh-CN"/>
          </w:rPr>
          <m:t>0+</m:t>
        </m:r>
        <m:r>
          <m:rPr>
            <m:sty m:val="p"/>
          </m:rPr>
          <w:rPr>
            <w:rFonts w:hint="eastAsia"/>
          </w:rPr>
          <m:t>-0.0021</m:t>
        </m:r>
        <m:r>
          <m:rPr>
            <m:sty m:val="p"/>
          </m:rPr>
          <w:rPr>
            <w:rFonts w:hint="eastAsia"/>
            <w:lang w:val="en-US" w:eastAsia="zh-CN"/>
          </w:rPr>
          <m:t>x</m:t>
        </m:r>
        <m:r>
          <m:rPr>
            <m:sty m:val="p"/>
          </m:rPr>
          <w:rPr>
            <w:rFonts w:hint="default"/>
            <w:lang w:val="en-US" w:eastAsia="zh-CN"/>
          </w:rPr>
          <m:t>5</m:t>
        </m:r>
      </m:oMath>
      <w:r>
        <m:rPr/>
        <w:rPr>
          <w:rFonts w:hint="eastAsia"/>
          <w:i w:val="0"/>
          <w:lang w:val="en-US" w:eastAsia="zh-CN"/>
        </w:rPr>
        <w:t>+</w:t>
      </w:r>
      <w:r>
        <w:rPr>
          <w:rFonts w:hint="eastAsia"/>
        </w:rPr>
        <w:t xml:space="preserve"> 0.0129</w:t>
      </w:r>
      <w:r>
        <w:rPr>
          <w:rFonts w:hint="eastAsia"/>
          <w:lang w:val="en-US" w:eastAsia="zh-CN"/>
        </w:rPr>
        <w:t>x6+</w:t>
      </w:r>
      <w:r>
        <w:rPr>
          <w:rFonts w:hint="eastAsia"/>
        </w:rPr>
        <w:t xml:space="preserve"> -0.4972</w:t>
      </w:r>
      <w:r>
        <w:rPr>
          <w:rFonts w:hint="eastAsia"/>
          <w:lang w:val="en-US" w:eastAsia="zh-CN"/>
        </w:rPr>
        <w:t>x7</w:t>
      </w:r>
    </w:p>
    <w:p w14:paraId="46755F8B">
      <w:pPr>
        <w:rPr>
          <w:rFonts w:hint="default" w:eastAsia="宋体"/>
          <w:lang w:val="en-US" w:eastAsia="zh-CN"/>
        </w:rPr>
      </w:pPr>
    </w:p>
    <w:p w14:paraId="5DB1A2C6">
      <w:pPr>
        <w:rPr>
          <w:rFonts w:hint="eastAsia"/>
          <w:lang w:val="en-US" w:eastAsia="zh-CN"/>
        </w:rPr>
      </w:pPr>
    </w:p>
    <w:p w14:paraId="1DB8B666">
      <w:pPr>
        <w:ind w:left="0" w:leftChars="0" w:firstLine="480" w:firstLineChars="200"/>
        <w:rPr>
          <w:rFonts w:hint="default"/>
          <w:lang w:val="en-US"/>
        </w:rPr>
      </w:pPr>
      <w:r>
        <w:rPr>
          <w:rFonts w:hint="default"/>
          <w:lang w:val="en-US"/>
        </w:rPr>
        <w:t>在输出的参数估计结果中：\(\beta_0\)：它代表模型的截距项。\(\beta_0\) 的估计值反映了在所有自变量都取 0 时，Y 染色体浓度的预测值。例如，如果 \(\beta_0\) 为正数且数值较大，说明即使在身高、孕妇 BMI、GC 含量和 X 染色体浓度都为 0 的理论情况下，仍存在一定水平的 Y 染色体浓度。不过在实际生物学意义中，自变量取 0 可能并不一定有实际意义，需要结合具体的背景来理解。\(\beta_5\)：与孕妇 BMI 相关。若 \(\beta_5\) 为正数，意味着在其他自变量保持不变的情况下，孕妇 BMI 的增加会导致 Y 染色体浓度有上升的趋势；若为负数，则表示孕妇 BMI 的增加会使 Y 染色体浓度下降。其绝对值大小反映了这种影响的强度，绝对值越大，说明孕妇 BMI 对 Y 染色体浓度的影响越显著。\(\beta_6\)：与孕妇 BMI 和 X 染色体浓度的交互项相关。该参数体现了孕妇 BMI 和 X 染色体浓度之间的协同作用对 Y 染色体浓度的影响。如果 \(\beta_6\) 不为 0，说明两者的交互作用确实存在，并且会对 Y 染色体浓度产生影响。例如，当 \(\beta_6\) 为正数时，随着孕妇 BMI 和 X 染色体浓度的同时增加，Y 染色体浓度会有更大幅度的上升。\(\beta_7\)：与 \(\ln(x_7 + 1)\)（即 \(\ln\)(GC 含量 + 1)）相关。\(\beta_7\) 的正负决定了 GC 含量对 Y 染色体浓度影响的方向。由于采用了对数变换，它捕捉了 GC 含量以一种非线性的方式对 Y 染色体浓度的影响。如果 \(\beta_7\) 为正，说明 GC 含量增加时，Y 染色体浓度会上升，但上升的速率可能会随着 GC 含量的增加而逐渐变缓（因为对数函数的增长特性）。二、模型评估指标分析（一）决定系数 \(R^2\)\(R^2\) 的取值范围在 0 到 1 之间，越接近 1 表示模型对数据的拟合优度越高。如果 \(R^2\) 接近 1，说明该多元非线性回归模型能够很好地解释 Y 染色体浓度的变化，即模型所选取的自变量（身高、孕妇 BMI、GC 含量和 X 染色体浓度）能够解释大部分 Y 染色体浓度的变异。例如，\(R^2 = 0.8\)，意味着模型能够解释 80% 的 Y 染色体浓度的变化，剩下 20% 可能是由模型未考虑到的其他因素或者随机误差导致的。</w:t>
      </w:r>
    </w:p>
    <w:p w14:paraId="7742B5E9">
      <w:pPr>
        <w:numPr>
          <w:ilvl w:val="0"/>
          <w:numId w:val="3"/>
        </w:numPr>
        <w:bidi w:val="0"/>
        <w:ind w:left="1200" w:leftChars="0" w:hanging="720" w:firstLineChars="0"/>
        <w:rPr>
          <w:rFonts w:hint="eastAsia"/>
          <w:lang w:val="en-US" w:eastAsia="zh-CN"/>
        </w:rPr>
      </w:pPr>
      <w:r>
        <w:rPr>
          <w:rFonts w:hint="eastAsia"/>
          <w:lang w:val="en-US" w:eastAsia="zh-CN"/>
        </w:rPr>
        <w:t>检验显著性</w:t>
      </w:r>
    </w:p>
    <w:p w14:paraId="47F15BFA">
      <w:pPr>
        <w:bidi w:val="0"/>
        <w:rPr>
          <w:rFonts w:hint="eastAsia"/>
          <w:lang w:val="en-US" w:eastAsia="zh-CN"/>
        </w:rPr>
      </w:pPr>
      <w:r>
        <w:rPr>
          <w:rFonts w:hint="eastAsia"/>
          <w:lang w:val="en-US" w:eastAsia="zh-CN"/>
        </w:rPr>
        <w:t>整体显著性检验使用F 检验，判断模型中所有自变量（BMI、BMI×X 浓度、ln (GC+1)）作为整体，是否对 Y 染色体浓度有显著解释力，即模型是否 “有效”。非线性回归的 F 检验基于残差平方和（SSE） 与回归平方和（SSR） 构建统计量，核心逻辑是：若模型有效，SSR 应显著大于 SSE。F 检验的\(p &lt; 0.01\)，拒绝原假设\(H_0\)，表明模型整体具有极高显著性，所选自变量作为整体对 Y 染色体浓度的解释力在统计学上显著</w:t>
      </w:r>
    </w:p>
    <w:p w14:paraId="6530DE1C">
      <w:pPr>
        <w:bidi w:val="0"/>
        <w:rPr>
          <w:rFonts w:hint="eastAsia"/>
          <w:lang w:val="en-US" w:eastAsia="zh-CN"/>
        </w:rPr>
      </w:pPr>
      <w:r>
        <w:rPr>
          <w:rFonts w:hint="eastAsia"/>
          <w:lang w:val="en-US" w:eastAsia="zh-CN"/>
        </w:rPr>
        <w:t>筛选对 Y 染色体浓度有显著影响的自变量，剔除 “无效变量”（系数无统计学意义的变量），优化模型简洁性。</w:t>
      </w:r>
    </w:p>
    <w:p w14:paraId="30A2ABBC">
      <w:pPr>
        <w:bidi w:val="0"/>
        <w:rPr>
          <w:rFonts w:hint="eastAsia"/>
          <w:lang w:val="en-US" w:eastAsia="zh-CN"/>
        </w:rPr>
      </w:pPr>
    </w:p>
    <w:p w14:paraId="07D03A75">
      <w:pPr>
        <w:numPr>
          <w:numId w:val="0"/>
        </w:numPr>
        <w:bidi w:val="0"/>
        <w:ind w:left="480" w:leftChars="0"/>
        <w:rPr>
          <w:rFonts w:hint="eastAsia"/>
          <w:lang w:val="en-US" w:eastAsia="zh-CN"/>
        </w:rPr>
      </w:pPr>
    </w:p>
    <w:p w14:paraId="173800E3">
      <w:pPr>
        <w:numPr>
          <w:numId w:val="0"/>
        </w:numPr>
        <w:bidi w:val="0"/>
        <w:ind w:left="480" w:leftChars="0"/>
        <w:rPr>
          <w:rFonts w:hint="eastAsia"/>
          <w:lang w:val="en-US" w:eastAsia="zh-CN"/>
        </w:rPr>
      </w:pPr>
    </w:p>
    <w:p w14:paraId="49B9596E">
      <w:pPr>
        <w:numPr>
          <w:numId w:val="0"/>
        </w:numPr>
        <w:bidi w:val="0"/>
        <w:ind w:left="480" w:leftChars="0"/>
        <w:rPr>
          <w:rFonts w:hint="eastAsia"/>
          <w:lang w:val="en-US" w:eastAsia="zh-CN"/>
        </w:rPr>
      </w:pPr>
      <w:r>
        <w:drawing>
          <wp:inline distT="0" distB="0" distL="114300" distR="114300">
            <wp:extent cx="5610225" cy="1610995"/>
            <wp:effectExtent l="0" t="0" r="9525" b="825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9"/>
                    <a:stretch>
                      <a:fillRect/>
                    </a:stretch>
                  </pic:blipFill>
                  <pic:spPr>
                    <a:xfrm>
                      <a:off x="0" y="0"/>
                      <a:ext cx="5610225" cy="1610995"/>
                    </a:xfrm>
                    <a:prstGeom prst="rect">
                      <a:avLst/>
                    </a:prstGeom>
                    <a:noFill/>
                    <a:ln>
                      <a:noFill/>
                    </a:ln>
                  </pic:spPr>
                </pic:pic>
              </a:graphicData>
            </a:graphic>
          </wp:inline>
        </w:drawing>
      </w:r>
    </w:p>
    <w:p w14:paraId="6EB4167B">
      <w:pPr>
        <w:ind w:left="0" w:leftChars="0" w:firstLine="480" w:firstLineChars="200"/>
        <w:rPr>
          <w:rFonts w:hint="eastAsia" w:eastAsia="宋体"/>
          <w:lang w:val="en-US" w:eastAsia="zh-CN"/>
        </w:rPr>
      </w:pPr>
    </w:p>
    <w:p w14:paraId="51AFDDB9">
      <w:pPr>
        <w:ind w:left="0" w:leftChars="0" w:firstLine="480" w:firstLineChars="200"/>
        <w:rPr>
          <w:rFonts w:hint="default"/>
          <w:lang w:val="en-US"/>
        </w:rPr>
      </w:pPr>
    </w:p>
    <w:p w14:paraId="6FAE4A1F">
      <w:pPr>
        <w:ind w:left="0" w:leftChars="0" w:firstLine="0" w:firstLineChars="0"/>
      </w:pPr>
    </w:p>
    <w:p w14:paraId="7483D7C3">
      <w:pPr>
        <w:ind w:left="0" w:leftChars="0" w:firstLine="0" w:firstLineChars="0"/>
      </w:pPr>
    </w:p>
    <w:p w14:paraId="7C7290F6">
      <w:pPr>
        <w:ind w:left="0" w:leftChars="0" w:firstLine="0" w:firstLineChars="0"/>
      </w:pPr>
    </w:p>
    <w:p w14:paraId="02F9FD12">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bookmarkStart w:id="19" w:name="_Toc57576292"/>
      <w:r>
        <w:drawing>
          <wp:inline distT="0" distB="0" distL="114300" distR="114300">
            <wp:extent cx="5615305" cy="1494790"/>
            <wp:effectExtent l="0" t="0" r="4445" b="1016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0"/>
                    <a:stretch>
                      <a:fillRect/>
                    </a:stretch>
                  </pic:blipFill>
                  <pic:spPr>
                    <a:xfrm>
                      <a:off x="0" y="0"/>
                      <a:ext cx="5615305" cy="1494790"/>
                    </a:xfrm>
                    <a:prstGeom prst="rect">
                      <a:avLst/>
                    </a:prstGeom>
                    <a:noFill/>
                    <a:ln>
                      <a:noFill/>
                    </a:ln>
                  </pic:spPr>
                </pic:pic>
              </a:graphicData>
            </a:graphic>
          </wp:inline>
        </w:drawing>
      </w:r>
    </w:p>
    <w:p w14:paraId="288D2B79">
      <w:pPr>
        <w:numPr>
          <w:ilvl w:val="0"/>
          <w:numId w:val="0"/>
        </w:numPr>
        <w:ind w:leftChars="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所有参数的\(p &lt; 0.05\)，均拒绝原假设\(H_{0j}\)，表明：孕妇 BMI（\(\beta_5\)）、BMI 与 X 染色体浓度的交互作用（\(\beta_6\)）、GC 含量的对数项（\(\beta_7\)）均对 Y 染色体浓度有显著影响，无无效变量，无需剔除。</w:t>
      </w:r>
    </w:p>
    <w:p w14:paraId="6394F087">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残差正态性检验：Shapiro-Wilk 检验与 Q-Q 检验目的判断残差是否服从正态分布（非线性回归对残差正态性的要求弱于线性回归，但正态性越好，参数估计的稳健性越强）。5.1.2 检验原理与步骤Shapiro-Wilk 检验：原假设\(H_0\)：残差服从正态分布，备择假设\(H_1\)：残差不服从正态分布，统计量W越接近 1，正态性越好；Q-Q 图：通过残差点与 “理论正态分布对角线” 的贴合程度直观判断正态性，若残差点贴近对角线，说明正态性良好。</w:t>
      </w:r>
    </w:p>
    <w:p w14:paraId="32AD63D9">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p>
    <w:p w14:paraId="36120A07">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p>
    <w:p w14:paraId="38F082CA">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p>
    <w:p w14:paraId="7716B2E6">
      <w:pPr>
        <w:numPr>
          <w:ilvl w:val="0"/>
          <w:numId w:val="0"/>
        </w:num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5.2</w:t>
      </w:r>
      <w:r>
        <w:rPr>
          <w:rFonts w:hint="eastAsia"/>
          <w:color w:val="000000" w:themeColor="text1"/>
          <w14:textFill>
            <w14:solidFill>
              <w14:schemeClr w14:val="tx1"/>
            </w14:solidFill>
          </w14:textFill>
        </w:rPr>
        <w:t>问题</w:t>
      </w:r>
      <w:r>
        <w:rPr>
          <w:rFonts w:hint="eastAsia"/>
          <w:color w:val="000000" w:themeColor="text1"/>
          <w:lang w:val="en-US" w:eastAsia="zh-CN"/>
          <w14:textFill>
            <w14:solidFill>
              <w14:schemeClr w14:val="tx1"/>
            </w14:solidFill>
          </w14:textFill>
        </w:rPr>
        <w:t>二</w:t>
      </w:r>
      <w:r>
        <w:rPr>
          <w:rFonts w:hint="eastAsia"/>
          <w:color w:val="000000" w:themeColor="text1"/>
          <w14:textFill>
            <w14:solidFill>
              <w14:schemeClr w14:val="tx1"/>
            </w14:solidFill>
          </w14:textFill>
        </w:rPr>
        <w:t>模型的建立与求解</w:t>
      </w:r>
    </w:p>
    <w:p w14:paraId="778285F9">
      <w:pPr>
        <w:numPr>
          <w:ilvl w:val="0"/>
          <w:numId w:val="0"/>
        </w:numPr>
        <w:rPr>
          <w:rFonts w:hint="default" w:eastAsia="宋体"/>
          <w:color w:val="000000" w:themeColor="text1"/>
          <w:lang w:val="en-US"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关键指标</w:t>
      </w:r>
    </w:p>
    <w:p w14:paraId="086FA153">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 xml:space="preserve"> 浓度达标时间对于每个孕妇 i，若有多次检测数据，采用 “线性插值法” 计算首次达标时间。例如，孕妇 A001 的检测数据为（11.86 周，2.59%）、（15.86 周，3.49%）、（20.14 周，6.62%）</w:t>
      </w:r>
    </w:p>
    <w:p w14:paraId="3EE0419B">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drawing>
          <wp:inline distT="0" distB="0" distL="114300" distR="114300">
            <wp:extent cx="3200400" cy="209550"/>
            <wp:effectExtent l="0" t="0" r="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1"/>
                    <a:stretch>
                      <a:fillRect/>
                    </a:stretch>
                  </pic:blipFill>
                  <pic:spPr>
                    <a:xfrm>
                      <a:off x="0" y="0"/>
                      <a:ext cx="3200400" cy="209550"/>
                    </a:xfrm>
                    <a:prstGeom prst="rect">
                      <a:avLst/>
                    </a:prstGeom>
                    <a:noFill/>
                    <a:ln>
                      <a:noFill/>
                    </a:ln>
                  </pic:spPr>
                </pic:pic>
              </a:graphicData>
            </a:graphic>
          </wp:inline>
        </w:drawing>
      </w:r>
      <w:r>
        <w:rPr>
          <w:rFonts w:hint="eastAsia" w:ascii="Times New Roman" w:hAnsi="Times New Roman" w:eastAsia="宋体" w:cstheme="minorBidi"/>
          <w:b w:val="0"/>
          <w:bCs w:val="0"/>
          <w:kern w:val="2"/>
          <w:sz w:val="24"/>
          <w:szCs w:val="22"/>
          <w:lang w:val="en-US" w:eastAsia="zh-CN" w:bidi="ar-SA"/>
        </w:rPr>
        <w:t>。</w:t>
      </w:r>
    </w:p>
    <w:p w14:paraId="05DD1CAD">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若孕妇所有检测均未达标（如 Y 浓度始终 &lt; 4%），则利用问题 1 的混合效应模型预测 \(t_i^*\)。这一方法综合考虑了实际检测数据和模型预测，能够较为准确地确定每个孕妇的 Y 浓度达标时间。</w:t>
      </w:r>
    </w:p>
    <w:p w14:paraId="017AEBE3">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p>
    <w:p w14:paraId="05C3D489">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潜在风险函数 \(R(t)\)根据题目中的风险分级，定义了连续型风险函数 \(R(t)\)，该函数兼顾了风险程度与临床实用性。具体如下：</w:t>
      </w:r>
    </w:p>
    <w:p w14:paraId="11D3C739">
      <w:pPr>
        <w:numPr>
          <w:ilvl w:val="0"/>
          <w:numId w:val="0"/>
        </w:numPr>
        <w:ind w:leftChars="0" w:firstLine="480" w:firstLineChars="200"/>
      </w:pPr>
      <w:r>
        <w:drawing>
          <wp:inline distT="0" distB="0" distL="114300" distR="114300">
            <wp:extent cx="3686175" cy="762000"/>
            <wp:effectExtent l="0" t="0" r="9525" b="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2"/>
                    <a:stretch>
                      <a:fillRect/>
                    </a:stretch>
                  </pic:blipFill>
                  <pic:spPr>
                    <a:xfrm>
                      <a:off x="0" y="0"/>
                      <a:ext cx="3686175" cy="762000"/>
                    </a:xfrm>
                    <a:prstGeom prst="rect">
                      <a:avLst/>
                    </a:prstGeom>
                    <a:noFill/>
                    <a:ln>
                      <a:noFill/>
                    </a:ln>
                  </pic:spPr>
                </pic:pic>
              </a:graphicData>
            </a:graphic>
          </wp:inline>
        </w:drawing>
      </w:r>
    </w:p>
    <w:p w14:paraId="5C6DEEE4">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若检测时点 t 早于 \(t_i^*\)（未达标），需重新检测（间隔通常为 2 周），此时风险为 \(R(t + 2)\)。因此，“期望风险” 需考虑达标率，以更全面地评估不同检测时点的风险情况。</w:t>
      </w:r>
    </w:p>
    <w:p w14:paraId="32D988FC">
      <w:pPr>
        <w:numPr>
          <w:ilvl w:val="0"/>
          <w:numId w:val="4"/>
        </w:numPr>
        <w:ind w:leftChars="0" w:firstLine="480" w:firstLineChars="200"/>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t>基于有序聚类法的 BMI 最优分组</w:t>
      </w:r>
    </w:p>
    <w:p w14:paraId="034B931E">
      <w:pPr>
        <w:widowControl w:val="0"/>
        <w:numPr>
          <w:numId w:val="0"/>
        </w:numPr>
        <w:spacing w:line="360" w:lineRule="auto"/>
        <w:jc w:val="both"/>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t>步骤 1：定义分组评价指标（组内离均差平方和 SSE）</w:t>
      </w:r>
    </w:p>
    <w:p w14:paraId="6E8F87E6">
      <w:pPr>
        <w:widowControl w:val="0"/>
        <w:numPr>
          <w:numId w:val="0"/>
        </w:numPr>
        <w:spacing w:line="360" w:lineRule="auto"/>
        <w:jc w:val="both"/>
        <w:rPr>
          <w:rFonts w:hint="eastAsia" w:cstheme="minorBidi"/>
          <w:b w:val="0"/>
          <w:bCs w:val="0"/>
          <w:kern w:val="2"/>
          <w:sz w:val="24"/>
          <w:szCs w:val="22"/>
          <w:lang w:val="en-US" w:eastAsia="zh-CN" w:bidi="ar-SA"/>
        </w:rPr>
      </w:pPr>
      <w:r>
        <w:drawing>
          <wp:inline distT="0" distB="0" distL="114300" distR="114300">
            <wp:extent cx="6301740" cy="1489075"/>
            <wp:effectExtent l="0" t="0" r="3810" b="1587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3"/>
                    <a:stretch>
                      <a:fillRect/>
                    </a:stretch>
                  </pic:blipFill>
                  <pic:spPr>
                    <a:xfrm>
                      <a:off x="0" y="0"/>
                      <a:ext cx="6301740" cy="1489075"/>
                    </a:xfrm>
                    <a:prstGeom prst="rect">
                      <a:avLst/>
                    </a:prstGeom>
                    <a:noFill/>
                    <a:ln>
                      <a:noFill/>
                    </a:ln>
                  </pic:spPr>
                </pic:pic>
              </a:graphicData>
            </a:graphic>
          </wp:inline>
        </w:drawing>
      </w:r>
    </w:p>
    <w:p w14:paraId="28CE1508">
      <w:pPr>
        <w:widowControl w:val="0"/>
        <w:numPr>
          <w:numId w:val="0"/>
        </w:numPr>
        <w:spacing w:line="360" w:lineRule="auto"/>
        <w:jc w:val="both"/>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t>步骤2：确定候选分割点</w:t>
      </w:r>
    </w:p>
    <w:p w14:paraId="7A37C347">
      <w:pPr>
        <w:widowControl w:val="0"/>
        <w:numPr>
          <w:numId w:val="0"/>
        </w:numPr>
        <w:spacing w:line="360" w:lineRule="auto"/>
        <w:jc w:val="both"/>
      </w:pPr>
      <w:r>
        <w:drawing>
          <wp:inline distT="0" distB="0" distL="114300" distR="114300">
            <wp:extent cx="6027420" cy="691515"/>
            <wp:effectExtent l="0" t="0" r="11430" b="1333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4"/>
                    <a:stretch>
                      <a:fillRect/>
                    </a:stretch>
                  </pic:blipFill>
                  <pic:spPr>
                    <a:xfrm>
                      <a:off x="0" y="0"/>
                      <a:ext cx="6027420" cy="691515"/>
                    </a:xfrm>
                    <a:prstGeom prst="rect">
                      <a:avLst/>
                    </a:prstGeom>
                    <a:noFill/>
                    <a:ln>
                      <a:noFill/>
                    </a:ln>
                  </pic:spPr>
                </pic:pic>
              </a:graphicData>
            </a:graphic>
          </wp:inline>
        </w:drawing>
      </w:r>
    </w:p>
    <w:p w14:paraId="13677350">
      <w:pPr>
        <w:widowControl w:val="0"/>
        <w:numPr>
          <w:numId w:val="0"/>
        </w:numPr>
        <w:spacing w:line="360" w:lineRule="auto"/>
        <w:jc w:val="both"/>
        <w:rPr>
          <w:rFonts w:hint="default"/>
          <w:lang w:val="en-US" w:eastAsia="zh-CN"/>
        </w:rPr>
      </w:pPr>
      <w:r>
        <w:rPr>
          <w:rFonts w:hint="eastAsia"/>
          <w:lang w:val="en-US" w:eastAsia="zh-CN"/>
        </w:rPr>
        <w:t>步骤3：</w:t>
      </w:r>
      <w:r>
        <w:rPr>
          <w:rFonts w:hint="default"/>
          <w:lang w:val="en-US" w:eastAsia="zh-CN"/>
        </w:rPr>
        <w:t>最优分组数确定</w:t>
      </w:r>
    </w:p>
    <w:p w14:paraId="657153F1">
      <w:pPr>
        <w:widowControl w:val="0"/>
        <w:numPr>
          <w:numId w:val="0"/>
        </w:numPr>
        <w:spacing w:line="360" w:lineRule="auto"/>
        <w:ind w:firstLine="480" w:firstLineChars="200"/>
        <w:jc w:val="both"/>
        <w:rPr>
          <w:rFonts w:hint="default"/>
          <w:lang w:val="en-US" w:eastAsia="zh-CN"/>
        </w:rPr>
      </w:pPr>
      <w:r>
        <w:rPr>
          <w:rFonts w:hint="default"/>
          <w:lang w:val="en-US" w:eastAsia="zh-CN"/>
        </w:rPr>
        <w:t>绘制 “Total SSE - 分组数” 折线图，观察到分组数 = 4 时出现明显拐点：分组数从 3 增加到 4 时，SSE 下降幅度达 44.3%，组内差异显著减小；而分组数从 4 增加到 5 时，SSE 下降幅度骤减至 10.1%，且第 5 组样本量仅 15（&lt;30），不符合统计可靠性要求。因此，最优分组数确定为 4。</w:t>
      </w:r>
    </w:p>
    <w:p w14:paraId="12EEB12B">
      <w:pPr>
        <w:widowControl w:val="0"/>
        <w:numPr>
          <w:numId w:val="0"/>
        </w:numPr>
        <w:spacing w:line="360" w:lineRule="auto"/>
        <w:jc w:val="both"/>
        <w:rPr>
          <w:rFonts w:hint="default"/>
          <w:lang w:val="en-US" w:eastAsia="zh-CN"/>
        </w:rPr>
      </w:pPr>
      <w:r>
        <w:rPr>
          <w:rFonts w:hint="eastAsia"/>
          <w:lang w:val="en-US" w:eastAsia="zh-CN"/>
        </w:rPr>
        <w:t>步骤4：</w:t>
      </w:r>
      <w:r>
        <w:rPr>
          <w:rFonts w:hint="default"/>
          <w:lang w:val="en-US" w:eastAsia="zh-CN"/>
        </w:rPr>
        <w:t>最终分组结果</w:t>
      </w:r>
    </w:p>
    <w:p w14:paraId="4EA1BA3D">
      <w:pPr>
        <w:widowControl w:val="0"/>
        <w:numPr>
          <w:numId w:val="0"/>
        </w:numPr>
        <w:spacing w:line="360" w:lineRule="auto"/>
        <w:ind w:firstLine="480" w:firstLineChars="200"/>
        <w:jc w:val="both"/>
        <w:rPr>
          <w:rFonts w:hint="default"/>
          <w:lang w:val="en-US" w:eastAsia="zh-CN"/>
        </w:rPr>
      </w:pPr>
      <w:r>
        <w:rPr>
          <w:rFonts w:hint="default"/>
          <w:lang w:val="en-US" w:eastAsia="zh-CN"/>
        </w:rPr>
        <w:t>结合样本量≥30 的约束，调整最小 BMI 区间下限（将 [27.64,28.0) 与 [28.0,32.0) 合并，因前者样本量 36 接近 30，合并后样本量 82≥30），最终分组结果如下表：</w:t>
      </w:r>
    </w:p>
    <w:p w14:paraId="3D3E6043">
      <w:pPr>
        <w:widowControl w:val="0"/>
        <w:numPr>
          <w:numId w:val="0"/>
        </w:numPr>
        <w:spacing w:line="360" w:lineRule="auto"/>
        <w:jc w:val="center"/>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drawing>
          <wp:inline distT="0" distB="0" distL="114300" distR="114300">
            <wp:extent cx="4079240" cy="3023235"/>
            <wp:effectExtent l="0" t="0" r="16510" b="5715"/>
            <wp:docPr id="19" name="图片 1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
                    <pic:cNvPicPr>
                      <a:picLocks noChangeAspect="1"/>
                    </pic:cNvPicPr>
                  </pic:nvPicPr>
                  <pic:blipFill>
                    <a:blip r:embed="rId25"/>
                    <a:stretch>
                      <a:fillRect/>
                    </a:stretch>
                  </pic:blipFill>
                  <pic:spPr>
                    <a:xfrm>
                      <a:off x="0" y="0"/>
                      <a:ext cx="4079240" cy="3023235"/>
                    </a:xfrm>
                    <a:prstGeom prst="rect">
                      <a:avLst/>
                    </a:prstGeom>
                  </pic:spPr>
                </pic:pic>
              </a:graphicData>
            </a:graphic>
          </wp:inline>
        </w:drawing>
      </w:r>
    </w:p>
    <w:p w14:paraId="60DC7A84">
      <w:pPr>
        <w:widowControl w:val="0"/>
        <w:numPr>
          <w:ilvl w:val="0"/>
          <w:numId w:val="4"/>
        </w:numPr>
        <w:spacing w:line="360" w:lineRule="auto"/>
        <w:ind w:left="0" w:leftChars="0" w:firstLine="480" w:firstLineChars="200"/>
        <w:jc w:val="both"/>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t> 分组有效性验证（方差分析 ANOVA）</w:t>
      </w:r>
    </w:p>
    <w:p w14:paraId="17E8A439">
      <w:pPr>
        <w:widowControl w:val="0"/>
        <w:numPr>
          <w:numId w:val="0"/>
        </w:numPr>
        <w:spacing w:line="360" w:lineRule="auto"/>
        <w:ind w:firstLine="480" w:firstLineChars="200"/>
        <w:jc w:val="both"/>
      </w:pPr>
      <w:r>
        <w:rPr>
          <w:rFonts w:hint="eastAsia" w:cstheme="minorBidi"/>
          <w:b w:val="0"/>
          <w:bCs w:val="0"/>
          <w:kern w:val="2"/>
          <w:sz w:val="24"/>
          <w:szCs w:val="22"/>
          <w:lang w:val="en-US" w:eastAsia="zh-CN" w:bidi="ar-SA"/>
        </w:rPr>
        <w:t>为验证组间达标时间差异的显著性，对分组结果进行单因素方差分析，原假设\(H_0\)：四组达标时间均值相等（\(\mu_1=\mu_2=\mu_3=\mu_4\)），组间无显著差异；备择假设\(H_1\)：至少两组达标时间均值不相等，组间存在显著差异。计算关键统计量：</w:t>
      </w:r>
      <w:r>
        <w:drawing>
          <wp:inline distT="0" distB="0" distL="114300" distR="114300">
            <wp:extent cx="6457315" cy="2141855"/>
            <wp:effectExtent l="0" t="0" r="635" b="1079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6"/>
                    <a:stretch>
                      <a:fillRect/>
                    </a:stretch>
                  </pic:blipFill>
                  <pic:spPr>
                    <a:xfrm>
                      <a:off x="0" y="0"/>
                      <a:ext cx="6457315" cy="2141855"/>
                    </a:xfrm>
                    <a:prstGeom prst="rect">
                      <a:avLst/>
                    </a:prstGeom>
                    <a:noFill/>
                    <a:ln>
                      <a:noFill/>
                    </a:ln>
                  </pic:spPr>
                </pic:pic>
              </a:graphicData>
            </a:graphic>
          </wp:inline>
        </w:drawing>
      </w:r>
    </w:p>
    <w:p w14:paraId="1BB7CD7D">
      <w:pPr>
        <w:keepNext w:val="0"/>
        <w:keepLines w:val="0"/>
        <w:pageBreakBefore w:val="0"/>
        <w:widowControl w:val="0"/>
        <w:numPr>
          <w:numId w:val="0"/>
        </w:numPr>
        <w:kinsoku/>
        <w:wordWrap/>
        <w:overflowPunct/>
        <w:topLinePunct w:val="0"/>
        <w:autoSpaceDE/>
        <w:autoSpaceDN/>
        <w:bidi w:val="0"/>
        <w:adjustRightInd/>
        <w:snapToGrid/>
        <w:spacing w:line="360" w:lineRule="auto"/>
        <w:ind w:left="240" w:leftChars="0"/>
        <w:jc w:val="both"/>
        <w:textAlignment w:val="auto"/>
        <w:rPr>
          <w:rFonts w:hint="eastAsia"/>
          <w:lang w:val="en-US" w:eastAsia="zh-CN"/>
        </w:rPr>
      </w:pPr>
      <w:r>
        <w:rPr>
          <w:rFonts w:hint="eastAsia"/>
          <w:lang w:val="en-US" w:eastAsia="zh-CN"/>
        </w:rPr>
        <w:t>(4)风险与达标率量化模型</w:t>
      </w:r>
    </w:p>
    <w:p w14:paraId="10F572B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将风险量化为与孕周正相关的函数：早期检测窗（12≤t≤17 周）：胎儿发育稳定，治疗窗口期充足，风险值\(R(t)=0.3\)；中期检测窗（18≤t≤21 周）：治疗窗口期缩短，风险值\(R(t)=0.5\)；晚期检测窗（22≤t≤25 周）：接近检测窗口上限，治疗风险显著升高，风险值\(R(t)=0.7\)；超出窗口（t&lt;12 或 t&gt;25 周）：t&lt;12 周时 Y 浓度达标率过低，t&gt;25 周时超出题目推荐检测范围，风险值定义为 1.0（不纳入候选时点）。</w:t>
      </w:r>
    </w:p>
    <w:p w14:paraId="284EE07D">
      <w:pPr>
        <w:keepNext w:val="0"/>
        <w:keepLines w:val="0"/>
        <w:pageBreakBefore w:val="0"/>
        <w:widowControl w:val="0"/>
        <w:numPr>
          <w:numId w:val="0"/>
        </w:numPr>
        <w:kinsoku/>
        <w:wordWrap/>
        <w:overflowPunct/>
        <w:topLinePunct w:val="0"/>
        <w:autoSpaceDE/>
        <w:autoSpaceDN/>
        <w:bidi w:val="0"/>
        <w:adjustRightInd/>
        <w:snapToGrid/>
        <w:spacing w:line="360" w:lineRule="auto"/>
        <w:ind w:left="240" w:leftChars="100" w:firstLine="240" w:firstLineChars="100"/>
        <w:jc w:val="both"/>
        <w:textAlignment w:val="auto"/>
        <w:rPr>
          <w:rFonts w:hint="default"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达标率函数\(P(t)\)</w:t>
      </w:r>
      <w:r>
        <w:rPr>
          <w:rFonts w:hint="eastAsia" w:cstheme="minorBidi"/>
          <w:b w:val="0"/>
          <w:bCs w:val="0"/>
          <w:kern w:val="2"/>
          <w:sz w:val="24"/>
          <w:szCs w:val="22"/>
          <w:lang w:val="en-US" w:eastAsia="zh-CN" w:bidi="ar-SA"/>
        </w:rPr>
        <w:t>:</w:t>
      </w:r>
    </w:p>
    <w:p w14:paraId="546B483E">
      <w:pPr>
        <w:keepNext w:val="0"/>
        <w:keepLines w:val="0"/>
        <w:pageBreakBefore w:val="0"/>
        <w:widowControl w:val="0"/>
        <w:numPr>
          <w:numId w:val="0"/>
        </w:numPr>
        <w:kinsoku/>
        <w:wordWrap/>
        <w:overflowPunct/>
        <w:topLinePunct w:val="0"/>
        <w:autoSpaceDE/>
        <w:autoSpaceDN/>
        <w:bidi w:val="0"/>
        <w:adjustRightInd/>
        <w:snapToGrid/>
        <w:spacing w:line="360" w:lineRule="auto"/>
        <w:ind w:left="240" w:hanging="240" w:hangingChars="100"/>
        <w:jc w:val="both"/>
        <w:textAlignment w:val="auto"/>
        <w:rPr>
          <w:rFonts w:hint="eastAsia" w:ascii="Times New Roman" w:hAnsi="Times New Roman" w:eastAsia="宋体" w:cstheme="minorBidi"/>
          <w:b w:val="0"/>
          <w:bCs w:val="0"/>
          <w:kern w:val="2"/>
          <w:sz w:val="24"/>
          <w:szCs w:val="22"/>
          <w:lang w:val="en-US" w:eastAsia="zh-CN" w:bidi="ar-SA"/>
        </w:rPr>
      </w:pPr>
      <w:r>
        <w:drawing>
          <wp:inline distT="0" distB="0" distL="114300" distR="114300">
            <wp:extent cx="6444615" cy="916305"/>
            <wp:effectExtent l="0" t="0" r="13335" b="1714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7"/>
                    <a:stretch>
                      <a:fillRect/>
                    </a:stretch>
                  </pic:blipFill>
                  <pic:spPr>
                    <a:xfrm>
                      <a:off x="0" y="0"/>
                      <a:ext cx="6444615" cy="916305"/>
                    </a:xfrm>
                    <a:prstGeom prst="rect">
                      <a:avLst/>
                    </a:prstGeom>
                    <a:noFill/>
                    <a:ln>
                      <a:noFill/>
                    </a:ln>
                  </pic:spPr>
                </pic:pic>
              </a:graphicData>
            </a:graphic>
          </wp:inline>
        </w:drawing>
      </w:r>
    </w:p>
    <w:p w14:paraId="25D8FDF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期望风险函数\(E(R,t)\)</w:t>
      </w:r>
      <w:r>
        <w:rPr>
          <w:rFonts w:hint="eastAsia" w:cstheme="minorBidi"/>
          <w:b w:val="0"/>
          <w:bCs w:val="0"/>
          <w:kern w:val="2"/>
          <w:sz w:val="24"/>
          <w:szCs w:val="22"/>
          <w:lang w:val="en-US" w:eastAsia="zh-CN" w:bidi="ar-SA"/>
        </w:rPr>
        <w:t>,</w:t>
      </w:r>
    </w:p>
    <w:p w14:paraId="14E1286B">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6306185" cy="1797685"/>
            <wp:effectExtent l="0" t="0" r="18415" b="1206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8"/>
                    <a:stretch>
                      <a:fillRect/>
                    </a:stretch>
                  </pic:blipFill>
                  <pic:spPr>
                    <a:xfrm>
                      <a:off x="0" y="0"/>
                      <a:ext cx="6306185" cy="1797685"/>
                    </a:xfrm>
                    <a:prstGeom prst="rect">
                      <a:avLst/>
                    </a:prstGeom>
                    <a:noFill/>
                    <a:ln>
                      <a:noFill/>
                    </a:ln>
                  </pic:spPr>
                </pic:pic>
              </a:graphicData>
            </a:graphic>
          </wp:inline>
        </w:drawing>
      </w:r>
    </w:p>
    <w:p w14:paraId="4C31F3C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pPr>
    </w:p>
    <w:p w14:paraId="193489EE">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607685" cy="3536315"/>
            <wp:effectExtent l="0" t="0" r="12065" b="6985"/>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29"/>
                    <a:stretch>
                      <a:fillRect/>
                    </a:stretch>
                  </pic:blipFill>
                  <pic:spPr>
                    <a:xfrm>
                      <a:off x="0" y="0"/>
                      <a:ext cx="5607685" cy="3536315"/>
                    </a:xfrm>
                    <a:prstGeom prst="rect">
                      <a:avLst/>
                    </a:prstGeom>
                    <a:noFill/>
                    <a:ln>
                      <a:noFill/>
                    </a:ln>
                  </pic:spPr>
                </pic:pic>
              </a:graphicData>
            </a:graphic>
          </wp:inline>
        </w:drawing>
      </w:r>
    </w:p>
    <w:p w14:paraId="752C5CBC">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rPr>
      </w:pPr>
      <w:r>
        <w:rPr>
          <w:rFonts w:hint="eastAsia"/>
        </w:rPr>
        <w:t>BMI是Y染色体浓度达标时间的主要影响因素</w:t>
      </w:r>
      <w:r>
        <w:rPr>
          <w:rFonts w:hint="eastAsia"/>
          <w:lang w:eastAsia="zh-CN"/>
        </w:rPr>
        <w:t>，</w:t>
      </w:r>
      <w:r>
        <w:rPr>
          <w:rFonts w:hint="eastAsia"/>
        </w:rPr>
        <w:t>最优分组数=4</w:t>
      </w:r>
      <w:r>
        <w:rPr>
          <w:rFonts w:hint="eastAsia"/>
          <w:lang w:eastAsia="zh-CN"/>
        </w:rPr>
        <w:t>。</w:t>
      </w:r>
      <w:r>
        <w:rPr>
          <w:rFonts w:hint="eastAsia"/>
        </w:rPr>
        <w:t>最佳时点规律</w:t>
      </w:r>
      <w:r>
        <w:rPr>
          <w:rFonts w:hint="eastAsia"/>
          <w:lang w:eastAsia="zh-CN"/>
        </w:rPr>
        <w:t>，</w:t>
      </w:r>
      <w:r>
        <w:rPr>
          <w:rFonts w:hint="eastAsia"/>
        </w:rPr>
        <w:t>BMI越高，时点越晚（组1:17周 → 组4:24周）</w:t>
      </w:r>
      <w:r>
        <w:rPr>
          <w:rFonts w:hint="eastAsia"/>
          <w:lang w:eastAsia="zh-CN"/>
        </w:rPr>
        <w:t>，</w:t>
      </w:r>
      <w:r>
        <w:rPr>
          <w:rFonts w:hint="eastAsia"/>
        </w:rPr>
        <w:t>高BMI孕妇胎儿游离DNA浓度低，达标时间延迟”</w:t>
      </w:r>
      <w:r>
        <w:rPr>
          <w:rFonts w:hint="eastAsia"/>
          <w:lang w:eastAsia="zh-CN"/>
        </w:rPr>
        <w:t>。</w:t>
      </w:r>
      <w:r>
        <w:rPr>
          <w:rFonts w:hint="eastAsia"/>
        </w:rPr>
        <w:t>风险规律</w:t>
      </w:r>
      <w:r>
        <w:rPr>
          <w:rFonts w:hint="eastAsia"/>
          <w:lang w:eastAsia="zh-CN"/>
        </w:rPr>
        <w:t>，</w:t>
      </w:r>
      <w:r>
        <w:rPr>
          <w:rFonts w:hint="eastAsia"/>
        </w:rPr>
        <w:t>BMI越高，期望风险越高（组1:0.33 → 组4:0.80）</w:t>
      </w:r>
      <w:r>
        <w:rPr>
          <w:rFonts w:hint="eastAsia"/>
          <w:lang w:eastAsia="zh-CN"/>
        </w:rPr>
        <w:t>，</w:t>
      </w:r>
      <w:r>
        <w:rPr>
          <w:rFonts w:hint="eastAsia"/>
        </w:rPr>
        <w:t>C题1-4“晚期（22~25周）风险高于早期，高BMI组时点后移至晚期窗口”</w:t>
      </w:r>
    </w:p>
    <w:p w14:paraId="583F6E1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pPr>
    </w:p>
    <w:p w14:paraId="1D25D140">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检测误差对最佳时点的影响分析</w:t>
      </w:r>
    </w:p>
    <w:p w14:paraId="6575266F">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Segoe UI" w:hAnsi="Segoe UI" w:cs="Segoe UI"/>
          <w:i w:val="0"/>
          <w:iCs w:val="0"/>
          <w:caps w:val="0"/>
          <w:spacing w:val="0"/>
          <w:sz w:val="24"/>
          <w:szCs w:val="24"/>
          <w:shd w:val="clear" w:fill="FFFFFF"/>
          <w:lang w:eastAsia="zh-CN"/>
        </w:rPr>
      </w:pPr>
      <w:r>
        <w:rPr>
          <w:rFonts w:hint="default"/>
          <w:lang w:val="en-US" w:eastAsia="zh-CN"/>
        </w:rPr>
        <w:t>误差</w:t>
      </w:r>
      <m:oMath>
        <m:r>
          <m:rPr>
            <m:sty m:val="p"/>
          </m:rPr>
          <w:rPr>
            <w:rFonts w:ascii="Cambria Math" w:hAnsi="Cambria Math"/>
            <w:lang w:val="en-US"/>
          </w:rPr>
          <m:t>σ</m:t>
        </m:r>
      </m:oMath>
      <w:r>
        <w:rPr>
          <w:rFonts w:hint="default"/>
          <w:lang w:val="en-US" w:eastAsia="zh-CN"/>
        </w:rPr>
        <w:t>计算</w:t>
      </w:r>
      <w:r>
        <w:rPr>
          <w:rFonts w:hint="eastAsia"/>
          <w:lang w:val="en-US" w:eastAsia="zh-CN"/>
        </w:rPr>
        <w:t>，</w:t>
      </w:r>
      <w:r>
        <w:rPr>
          <w:rFonts w:ascii="Segoe UI" w:hAnsi="Segoe UI" w:eastAsia="Segoe UI" w:cs="Segoe UI"/>
          <w:i w:val="0"/>
          <w:iCs w:val="0"/>
          <w:caps w:val="0"/>
          <w:spacing w:val="0"/>
          <w:sz w:val="24"/>
          <w:szCs w:val="24"/>
          <w:shd w:val="clear" w:fill="FFFFFF"/>
        </w:rPr>
        <w:t>从附件数据中筛选出有 3 次及以上检测记录的孕妇（共 30 例），对每例孕妇 i，计算其 Y 浓度测量值的残差</w:t>
      </w:r>
      <w:r>
        <w:rPr>
          <w:rFonts w:hint="eastAsia" w:ascii="Segoe UI" w:hAnsi="Segoe UI" w:cs="Segoe UI"/>
          <w:i w:val="0"/>
          <w:iCs w:val="0"/>
          <w:caps w:val="0"/>
          <w:spacing w:val="0"/>
          <w:sz w:val="24"/>
          <w:szCs w:val="24"/>
          <w:shd w:val="clear" w:fill="FFFFFF"/>
          <w:lang w:eastAsia="zh-CN"/>
        </w:rPr>
        <w:t>：</w:t>
      </w:r>
    </w:p>
    <w:p w14:paraId="59D34303">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895725" cy="304800"/>
            <wp:effectExtent l="0" t="0" r="9525" b="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0"/>
                    <a:stretch>
                      <a:fillRect/>
                    </a:stretch>
                  </pic:blipFill>
                  <pic:spPr>
                    <a:xfrm>
                      <a:off x="0" y="0"/>
                      <a:ext cx="3895725" cy="304800"/>
                    </a:xfrm>
                    <a:prstGeom prst="rect">
                      <a:avLst/>
                    </a:prstGeom>
                    <a:noFill/>
                    <a:ln>
                      <a:noFill/>
                    </a:ln>
                  </pic:spPr>
                </pic:pic>
              </a:graphicData>
            </a:graphic>
          </wp:inline>
        </w:drawing>
      </w:r>
    </w:p>
    <w:p w14:paraId="5FDDC98C">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再通过以下公式计算个体误差</w:t>
      </w:r>
      <m:oMath>
        <m:sSub>
          <m:sSubPr>
            <m:ctrlPr>
              <m:rPr/>
              <w:rPr>
                <w:rFonts w:ascii="Cambria Math" w:hAnsi="Cambria Math"/>
                <w:lang w:val="en-US"/>
              </w:rPr>
            </m:ctrlPr>
          </m:sSubPr>
          <m:e>
            <m:r>
              <m:rPr>
                <m:sty m:val="p"/>
              </m:rPr>
              <w:rPr>
                <w:rFonts w:ascii="Cambria Math" w:hAnsi="Cambria Math"/>
                <w:lang w:val="en-US"/>
              </w:rPr>
              <m:t>σ</m:t>
            </m:r>
            <m:ctrlPr>
              <m:rPr/>
              <w:rPr>
                <w:rFonts w:ascii="Cambria Math" w:hAnsi="Cambria Math"/>
                <w:lang w:val="en-US"/>
              </w:rPr>
            </m:ctrlPr>
          </m:e>
          <m:sub>
            <m:r>
              <m:rPr>
                <m:sty m:val="p"/>
              </m:rPr>
              <w:rPr>
                <w:rFonts w:hint="eastAsia" w:ascii="Cambria Math" w:hAnsi="Cambria Math"/>
                <w:lang w:val="en-US" w:eastAsia="zh-CN"/>
              </w:rPr>
              <m:t>i</m:t>
            </m:r>
            <m:ctrlPr>
              <m:rPr/>
              <w:rPr>
                <w:rFonts w:ascii="Cambria Math" w:hAnsi="Cambria Math"/>
                <w:lang w:val="en-US"/>
              </w:rPr>
            </m:ctrlPr>
          </m:sub>
        </m:sSub>
      </m:oMath>
      <w:r>
        <w:rPr>
          <w:rFonts w:hint="eastAsia"/>
          <w:lang w:val="en-US" w:eastAsia="zh-CN"/>
        </w:rPr>
        <w:t>及整体</w:t>
      </w:r>
    </w:p>
    <w:p w14:paraId="0E45C95A">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714625" cy="342900"/>
            <wp:effectExtent l="0" t="0" r="9525" b="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31"/>
                    <a:stretch>
                      <a:fillRect/>
                    </a:stretch>
                  </pic:blipFill>
                  <pic:spPr>
                    <a:xfrm>
                      <a:off x="0" y="0"/>
                      <a:ext cx="2714625" cy="342900"/>
                    </a:xfrm>
                    <a:prstGeom prst="rect">
                      <a:avLst/>
                    </a:prstGeom>
                    <a:noFill/>
                    <a:ln>
                      <a:noFill/>
                    </a:ln>
                  </pic:spPr>
                </pic:pic>
              </a:graphicData>
            </a:graphic>
          </wp:inline>
        </w:drawing>
      </w:r>
    </w:p>
    <w:p w14:paraId="4A6F9D2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eastAsia="宋体"/>
          <w:lang w:val="en-US" w:eastAsia="zh-CN"/>
        </w:rPr>
      </w:pPr>
      <w:r>
        <w:rPr>
          <w:rFonts w:hint="eastAsia"/>
          <w:lang w:val="en-US" w:eastAsia="zh-CN"/>
        </w:rPr>
        <w:t>误差建模假设 Y 浓度测量值服从正态分布：</w:t>
      </w:r>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obs</m:t>
            </m:r>
            <m:ctrlPr>
              <w:rPr>
                <w:rFonts w:ascii="Cambria Math" w:hAnsi="Cambria Math"/>
                <w:i/>
                <w:lang w:val="en-US"/>
              </w:rPr>
            </m:ctrlPr>
          </m:sub>
        </m:sSub>
        <m:r>
          <m:rPr/>
          <w:rPr>
            <w:rFonts w:hint="default" w:ascii="Cambria Math" w:hAnsi="Cambria Math"/>
            <w:lang w:val="en-US" w:eastAsia="zh-CN"/>
          </w:rPr>
          <m:t>=</m:t>
        </m:r>
        <m:sSub>
          <m:sSubPr>
            <m:ctrlPr>
              <m:rPr/>
              <w:rPr>
                <w:rFonts w:hint="default" w:ascii="Cambria Math" w:hAnsi="Cambria Math"/>
                <w:i/>
                <w:lang w:val="en-US" w:eastAsia="zh-CN"/>
              </w:rPr>
            </m:ctrlPr>
          </m:sSubPr>
          <m:e>
            <m:r>
              <m:rPr/>
              <w:rPr>
                <w:rFonts w:hint="default" w:ascii="Cambria Math" w:hAnsi="Cambria Math"/>
                <w:lang w:val="en-US" w:eastAsia="zh-CN"/>
              </w:rPr>
              <m:t>y</m:t>
            </m:r>
            <m:ctrlPr>
              <m:rPr/>
              <w:rPr>
                <w:rFonts w:hint="default" w:ascii="Cambria Math" w:hAnsi="Cambria Math"/>
                <w:i/>
                <w:lang w:val="en-US" w:eastAsia="zh-CN"/>
              </w:rPr>
            </m:ctrlPr>
          </m:e>
          <m:sub>
            <m:r>
              <m:rPr/>
              <w:rPr>
                <w:rFonts w:hint="default" w:ascii="Cambria Math" w:hAnsi="Cambria Math"/>
                <w:lang w:val="en-US" w:eastAsia="zh-CN"/>
              </w:rPr>
              <m:t>ture</m:t>
            </m:r>
            <m:ctrlPr>
              <m:rPr/>
              <w:rPr>
                <w:rFonts w:hint="default" w:ascii="Cambria Math" w:hAnsi="Cambria Math"/>
                <w:i/>
                <w:lang w:val="en-US" w:eastAsia="zh-CN"/>
              </w:rPr>
            </m:ctrlPr>
          </m:sub>
        </m:sSub>
        <m:r>
          <m:rPr/>
          <w:rPr>
            <w:rFonts w:hint="default" w:ascii="Cambria Math" w:hAnsi="Cambria Math"/>
            <w:lang w:val="en-US" w:eastAsia="zh-CN"/>
          </w:rPr>
          <m:t>+</m:t>
        </m:r>
        <m:r>
          <m:rPr/>
          <w:rPr>
            <w:rFonts w:hint="default" w:ascii="Cambria Math" w:hAnsi="Cambria Math" w:cs="Cambria Math"/>
            <w:lang w:val="en-US" w:eastAsia="zh-CN"/>
          </w:rPr>
          <m:t>ε</m:t>
        </m:r>
      </m:oMath>
    </w:p>
    <w:p w14:paraId="57B40834">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lang w:val="en-US" w:eastAsia="zh-CN"/>
        </w:rPr>
        <w:t>其中，</w:t>
      </w:r>
      <m:oMath>
        <m:sSub>
          <m:sSubPr>
            <m:ctrlPr>
              <w:rPr>
                <w:rFonts w:hint="default" w:ascii="Cambria Math" w:hAnsi="Cambria Math"/>
                <w:i/>
                <w:lang w:val="en-US" w:eastAsia="zh-CN"/>
              </w:rPr>
            </m:ctrlPr>
          </m:sSubPr>
          <m:e>
            <m:r>
              <m:rPr/>
              <w:rPr>
                <w:rFonts w:hint="default" w:ascii="Cambria Math" w:hAnsi="Cambria Math"/>
                <w:lang w:val="en-US" w:eastAsia="zh-CN"/>
              </w:rPr>
              <m:t>y</m:t>
            </m:r>
            <m:ctrlPr>
              <w:rPr>
                <w:rFonts w:hint="default" w:ascii="Cambria Math" w:hAnsi="Cambria Math"/>
                <w:i/>
                <w:lang w:val="en-US" w:eastAsia="zh-CN"/>
              </w:rPr>
            </m:ctrlPr>
          </m:e>
          <m:sub>
            <m:r>
              <m:rPr/>
              <w:rPr>
                <w:rFonts w:hint="default" w:ascii="Cambria Math" w:hAnsi="Cambria Math"/>
                <w:lang w:val="en-US" w:eastAsia="zh-CN"/>
              </w:rPr>
              <m:t>ture</m:t>
            </m:r>
            <m:ctrlPr>
              <w:rPr>
                <w:rFonts w:hint="default" w:ascii="Cambria Math" w:hAnsi="Cambria Math"/>
                <w:i/>
                <w:lang w:val="en-US" w:eastAsia="zh-CN"/>
              </w:rPr>
            </m:ctrlPr>
          </m:sub>
        </m:sSub>
      </m:oMath>
      <w:r>
        <w:rPr>
          <w:rFonts w:hint="eastAsia"/>
          <w:lang w:val="en-US" w:eastAsia="zh-CN"/>
        </w:rPr>
        <w:t>为真实 Y 浓度，</w:t>
      </w:r>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obs</m:t>
            </m:r>
            <m:ctrlPr>
              <w:rPr>
                <w:rFonts w:ascii="Cambria Math" w:hAnsi="Cambria Math"/>
                <w:i/>
                <w:lang w:val="en-US"/>
              </w:rPr>
            </m:ctrlPr>
          </m:sub>
        </m:sSub>
      </m:oMath>
      <w:r>
        <w:rPr>
          <w:rFonts w:hint="eastAsia"/>
          <w:lang w:val="en-US" w:eastAsia="zh-CN"/>
        </w:rPr>
        <w:t>为测量值，</w:t>
      </w:r>
      <m:oMath>
        <m:r>
          <m:rPr/>
          <w:rPr>
            <w:rFonts w:hint="default" w:ascii="Cambria Math" w:hAnsi="Cambria Math" w:cs="Cambria Math"/>
            <w:lang w:val="en-US" w:eastAsia="zh-CN"/>
          </w:rPr>
          <m:t>ε</m:t>
        </m:r>
      </m:oMath>
      <w:r>
        <w:rPr>
          <w:rFonts w:hint="eastAsia"/>
          <w:lang w:val="en-US" w:eastAsia="zh-CN"/>
        </w:rPr>
        <w:t>为随机误差。</w:t>
      </w:r>
    </w:p>
    <w:p w14:paraId="5A7440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eastAsia="宋体"/>
          <w:i w:val="0"/>
          <w:sz w:val="24"/>
          <w:lang w:eastAsia="zh-CN"/>
        </w:rPr>
      </w:pPr>
      <w:r>
        <w:rPr>
          <w:rFonts w:hint="eastAsia"/>
          <w:lang w:val="en-US" w:eastAsia="zh-CN"/>
        </w:rPr>
        <w:t>误差过大（如</w:t>
      </w:r>
      <m:oMath>
        <m:r>
          <m:rPr/>
          <w:rPr>
            <w:rFonts w:hint="default" w:ascii="Cambria Math" w:hAnsi="Cambria Math"/>
            <w:sz w:val="24"/>
          </w:rPr>
          <m:t>σ&gt;0.015</m:t>
        </m:r>
      </m:oMath>
      <w:r>
        <w:rPr>
          <w:rFonts w:hint="eastAsia"/>
          <w:lang w:val="en-US" w:eastAsia="zh-CN"/>
        </w:rPr>
        <w:t>）时，需修正达标时间以保证</w:t>
      </w:r>
      <m:oMath>
        <m:r>
          <m:rPr/>
          <w:rPr>
            <w:rFonts w:hint="default" w:ascii="Cambria Math" w:hAnsi="Cambria Math"/>
            <w:sz w:val="24"/>
          </w:rPr>
          <m:t>P(t)≥90%.</m:t>
        </m:r>
      </m:oMath>
      <w:r>
        <m:rPr/>
        <w:rPr>
          <w:rFonts w:hint="eastAsia" w:hAnsi="Cambria Math"/>
          <w:i w:val="0"/>
          <w:sz w:val="24"/>
          <w:lang w:eastAsia="zh-CN"/>
        </w:rPr>
        <w:t>，</w:t>
      </w:r>
      <w:r>
        <w:rPr>
          <w:rFonts w:hint="eastAsia"/>
          <w:lang w:val="en-US" w:eastAsia="zh-CN"/>
        </w:rPr>
        <w:t>为使 “测量达标率≥90%”，需保证真实浓度</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m:sty m:val="p"/>
              </m:rPr>
              <w:rPr>
                <w:rFonts w:hint="default" w:ascii="Cambria Math" w:hAnsi="Cambria Math"/>
                <w:sz w:val="24"/>
              </w:rPr>
              <m:t>t</m:t>
            </m:r>
            <m:r>
              <m:rPr/>
              <w:rPr>
                <w:rFonts w:hint="default" w:ascii="Cambria Math" w:hAnsi="Cambria Math"/>
                <w:sz w:val="24"/>
              </w:rPr>
              <m:t>rue</m:t>
            </m:r>
            <m:ctrlPr>
              <w:rPr>
                <w:rFonts w:ascii="Cambria Math" w:hAnsi="Cambria Math"/>
                <w:sz w:val="24"/>
              </w:rPr>
            </m:ctrlPr>
          </m:sub>
        </m:sSub>
        <m:r>
          <m:rPr/>
          <w:rPr>
            <w:rFonts w:hint="default" w:ascii="Cambria Math" w:hAnsi="Cambria Math"/>
            <w:sz w:val="24"/>
          </w:rPr>
          <m:t>(t)≥4%+1.645σ</m:t>
        </m:r>
      </m:oMath>
      <w:r>
        <w:rPr>
          <w:rFonts w:hint="eastAsia"/>
          <w:lang w:val="en-US" w:eastAsia="zh-CN"/>
        </w:rPr>
        <w:t>（单侧 95% 置信区间下限，</w:t>
      </w:r>
      <m:oMath>
        <m:r>
          <m:rPr>
            <m:sty m:val="p"/>
          </m:rPr>
          <w:rPr>
            <w:rFonts w:hint="default" w:ascii="Cambria Math" w:hAnsi="Cambria Math"/>
            <w:sz w:val="24"/>
          </w:rPr>
          <m:t>确保测量值</m:t>
        </m:r>
        <m:r>
          <m:rPr/>
          <w:rPr>
            <w:rFonts w:hint="default" w:ascii="Cambria Math" w:hAnsi="Cambria Math"/>
            <w:sz w:val="24"/>
          </w:rPr>
          <m:t>≥4%</m:t>
        </m:r>
        <m:r>
          <m:rPr>
            <m:sty m:val="p"/>
          </m:rPr>
          <w:rPr>
            <w:rFonts w:hint="default" w:ascii="Cambria Math" w:hAnsi="Cambria Math"/>
            <w:sz w:val="24"/>
          </w:rPr>
          <m:t>的概率</m:t>
        </m:r>
        <m:r>
          <m:rPr/>
          <w:rPr>
            <w:rFonts w:hint="default" w:ascii="Cambria Math" w:hAnsi="Cambria Math"/>
            <w:sz w:val="24"/>
          </w:rPr>
          <m:t>≥95%</m:t>
        </m:r>
      </m:oMath>
      <w:r>
        <w:rPr>
          <w:rFonts w:hint="eastAsia"/>
          <w:lang w:val="en-US" w:eastAsia="zh-CN"/>
        </w:rPr>
        <w:t>），修正后达标时间</w:t>
      </w:r>
      <m:oMath>
        <m:sSubSup>
          <m:sSubSupPr>
            <m:ctrlPr>
              <w:rPr>
                <w:rFonts w:hint="default" w:ascii="Cambria Math" w:hAnsi="Cambria Math"/>
                <w:sz w:val="24"/>
              </w:rPr>
            </m:ctrlPr>
          </m:sSubSup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oMath>
      <w:r>
        <w:rPr>
          <w:rFonts w:hint="eastAsia"/>
          <w:lang w:val="en-US" w:eastAsia="zh-CN"/>
        </w:rPr>
        <w:t>定义为：</w:t>
      </w:r>
      <m:oMath>
        <m:sSubSup>
          <m:sSubSupPr>
            <m:ctrlPr>
              <w:rPr>
                <w:rFonts w:hint="default" w:ascii="Cambria Math" w:hAnsi="Cambria Math"/>
                <w:sz w:val="24"/>
              </w:rPr>
            </m:ctrlPr>
          </m:sSubSup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func>
          <m:funcPr>
            <m:ctrlPr>
              <w:rPr>
                <w:rFonts w:hint="default" w:ascii="Cambria Math" w:hAnsi="Cambria Math"/>
                <w:sz w:val="24"/>
              </w:rPr>
            </m:ctrlPr>
          </m:funcPr>
          <m:fName>
            <m:r>
              <m:rPr/>
              <w:rPr>
                <w:rFonts w:hint="default" w:ascii="Cambria Math" w:hAnsi="Cambria Math"/>
                <w:sz w:val="24"/>
              </w:rPr>
              <m:t>arg</m:t>
            </m:r>
            <m:ctrlPr>
              <w:rPr>
                <w:rFonts w:ascii="Cambria Math" w:hAnsi="Cambria Math"/>
                <w:sz w:val="24"/>
              </w:rPr>
            </m:ctrlPr>
          </m:fName>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t</m:t>
                    </m:r>
                    <m:ctrlPr>
                      <w:rPr>
                        <w:rFonts w:ascii="Cambria Math" w:hAnsi="Cambria Math"/>
                        <w:sz w:val="24"/>
                      </w:rPr>
                    </m:ctrlPr>
                  </m:lim>
                </m:limLow>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ctrlPr>
              <w:rPr>
                <w:rFonts w:hint="default"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m:sty m:val="p"/>
              </m:rPr>
              <w:rPr>
                <w:rFonts w:hint="default" w:ascii="Cambria Math" w:hAnsi="Cambria Math"/>
                <w:sz w:val="24"/>
              </w:rPr>
              <m:t>true</m:t>
            </m:r>
            <m:ctrlPr>
              <w:rPr>
                <w:rFonts w:hint="default" w:ascii="Cambria Math" w:hAnsi="Cambria Math"/>
                <w:sz w:val="24"/>
              </w:rPr>
            </m:ctrlPr>
          </m:sub>
        </m:sSub>
        <m:r>
          <m:rPr/>
          <w:rPr>
            <w:rFonts w:hint="default" w:ascii="Cambria Math" w:hAnsi="Cambria Math"/>
            <w:sz w:val="24"/>
          </w:rPr>
          <m:t>(t)≥4%+1.645σ}</m:t>
        </m:r>
      </m:oMath>
      <w:r>
        <m:rPr/>
        <w:rPr>
          <w:rFonts w:hint="eastAsia" w:hAnsi="Cambria Math"/>
          <w:i w:val="0"/>
          <w:sz w:val="24"/>
          <w:lang w:eastAsia="zh-CN"/>
        </w:rPr>
        <w:t>。</w:t>
      </w:r>
      <w:r>
        <w:rPr>
          <w:rFonts w:hint="eastAsia"/>
          <w:lang w:val="en-US" w:eastAsia="zh-CN"/>
        </w:rPr>
        <w:t>即使在极高误差下，最佳时点仅需微调（0.1 周），即可维持达标率与期望风险稳定。这说明本文确定的最佳时点对检测误差具有较强的鲁棒性。</w:t>
      </w:r>
    </w:p>
    <w:p w14:paraId="71F009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36EDC816">
      <w:pPr>
        <w:pStyle w:val="3"/>
        <w:keepNext/>
        <w:keepLines/>
        <w:pageBreakBefore w:val="0"/>
        <w:widowControl w:val="0"/>
        <w:numPr>
          <w:numId w:val="0"/>
        </w:numPr>
        <w:kinsoku/>
        <w:wordWrap/>
        <w:overflowPunct/>
        <w:topLinePunct w:val="0"/>
        <w:autoSpaceDE/>
        <w:autoSpaceDN/>
        <w:bidi w:val="0"/>
        <w:adjustRightInd/>
        <w:snapToGrid/>
        <w:spacing w:before="156" w:after="156"/>
        <w:ind w:left="240" w:leftChars="0"/>
        <w:textAlignment w:val="auto"/>
        <w:outlineLvl w:val="1"/>
        <w:rPr>
          <w:rFonts w:hint="eastAsia"/>
        </w:rPr>
      </w:pPr>
      <w:bookmarkStart w:id="20" w:name="_Toc3788"/>
      <w:r>
        <w:rPr>
          <w:rFonts w:hint="eastAsia"/>
          <w:lang w:val="en-US" w:eastAsia="zh-CN"/>
        </w:rPr>
        <w:t>5.3</w:t>
      </w:r>
      <w:r>
        <w:rPr>
          <w:rFonts w:hint="eastAsia"/>
        </w:rPr>
        <w:t>问题</w:t>
      </w:r>
      <w:r>
        <w:rPr>
          <w:rFonts w:hint="eastAsia"/>
          <w:lang w:val="en-US" w:eastAsia="zh-CN"/>
        </w:rPr>
        <w:t>三</w:t>
      </w:r>
      <w:r>
        <w:rPr>
          <w:rFonts w:hint="eastAsia"/>
        </w:rPr>
        <w:t>型的建立与求解</w:t>
      </w:r>
      <w:bookmarkEnd w:id="20"/>
    </w:p>
    <w:p w14:paraId="1FB654B6">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在问题 2 基础上，纳入身高、年龄、怀孕次数等非 BMI 因素，结合多维度检测误差与Y 染色体浓度达标比例，优化 BMI 分组方案与最佳 NIPT 时点，进一步降低 “治疗窗口期缩短” 的潜在风险，同时确保检测结果的可靠性</w:t>
      </w:r>
    </w:p>
    <w:p w14:paraId="2D8252F5">
      <w:pPr>
        <w:numPr>
          <w:ilvl w:val="0"/>
          <w:numId w:val="6"/>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筛选方法逐步回归法</w:t>
      </w:r>
    </w:p>
    <w:p w14:paraId="7E84CF3C">
      <w:pPr>
        <w:numPr>
          <w:numId w:val="0"/>
        </w:numPr>
        <w:ind w:firstLine="480" w:firstLineChars="200"/>
        <w:rPr>
          <w:rFonts w:hAnsi="Cambria Math"/>
          <w:i w:val="0"/>
          <w:sz w:val="24"/>
        </w:rPr>
      </w:pPr>
      <w:r>
        <w:rPr>
          <w:rFonts w:hint="eastAsia" w:ascii="Times New Roman" w:hAnsi="Times New Roman" w:eastAsia="宋体" w:cstheme="minorBidi"/>
          <w:b w:val="0"/>
          <w:bCs w:val="0"/>
          <w:kern w:val="2"/>
          <w:sz w:val="24"/>
          <w:szCs w:val="22"/>
          <w:lang w:val="en-US" w:eastAsia="zh-CN" w:bidi="ar-SA"/>
        </w:rPr>
        <w:t>以 “达标时间</w:t>
      </w:r>
      <m:oMath>
        <m:sSubSup>
          <m:sSubSupPr>
            <m:ctrlPr>
              <w:rPr>
                <w:rFonts w:ascii="Cambria Math" w:hAnsi="Cambria Math" w:cstheme="minorBidi"/>
                <w:bCs w:val="0"/>
                <w:i/>
                <w:kern w:val="2"/>
                <w:sz w:val="24"/>
                <w:szCs w:val="22"/>
                <w:lang w:val="en-US" w:bidi="ar-SA"/>
              </w:rPr>
            </m:ctrlPr>
          </m:sSubSupPr>
          <m:e>
            <m:r>
              <m:rPr/>
              <w:rPr>
                <w:rFonts w:hint="default" w:ascii="Cambria Math" w:hAnsi="Cambria Math" w:cstheme="minorBidi"/>
                <w:kern w:val="2"/>
                <w:sz w:val="24"/>
                <w:szCs w:val="22"/>
                <w:lang w:val="en-US" w:eastAsia="zh-CN" w:bidi="ar-SA"/>
              </w:rPr>
              <m:t>t</m:t>
            </m:r>
            <m:ctrlPr>
              <w:rPr>
                <w:rFonts w:ascii="Cambria Math" w:hAnsi="Cambria Math" w:cstheme="minorBidi"/>
                <w:bCs w:val="0"/>
                <w:i/>
                <w:kern w:val="2"/>
                <w:sz w:val="24"/>
                <w:szCs w:val="22"/>
                <w:lang w:val="en-US" w:bidi="ar-SA"/>
              </w:rPr>
            </m:ctrlPr>
          </m:e>
          <m:sub>
            <m:r>
              <m:rPr/>
              <w:rPr>
                <w:rFonts w:hint="default" w:ascii="Cambria Math" w:hAnsi="Cambria Math" w:cstheme="minorBidi"/>
                <w:kern w:val="2"/>
                <w:sz w:val="24"/>
                <w:szCs w:val="22"/>
                <w:lang w:val="en-US" w:eastAsia="zh-CN" w:bidi="ar-SA"/>
              </w:rPr>
              <m:t>i</m:t>
            </m:r>
            <m:ctrlPr>
              <w:rPr>
                <w:rFonts w:ascii="Cambria Math" w:hAnsi="Cambria Math" w:cstheme="minorBidi"/>
                <w:bCs w:val="0"/>
                <w:i/>
                <w:kern w:val="2"/>
                <w:sz w:val="24"/>
                <w:szCs w:val="22"/>
                <w:lang w:val="en-US" w:bidi="ar-SA"/>
              </w:rPr>
            </m:ctrlPr>
          </m:sub>
          <m:sup>
            <m:r>
              <m:rPr>
                <m:sty m:val="p"/>
              </m:rPr>
              <w:rPr>
                <w:rFonts w:hint="eastAsia" w:ascii="Times New Roman" w:hAnsi="Times New Roman" w:eastAsia="宋体" w:cstheme="minorBidi"/>
                <w:kern w:val="2"/>
                <w:sz w:val="24"/>
                <w:szCs w:val="22"/>
                <w:lang w:val="en-US" w:eastAsia="zh-CN" w:bidi="ar-SA"/>
              </w:rPr>
              <m:t>*</m:t>
            </m:r>
            <m:ctrlPr>
              <w:rPr>
                <w:rFonts w:ascii="Cambria Math" w:hAnsi="Cambria Math" w:cstheme="minorBidi"/>
                <w:bCs w:val="0"/>
                <w:i/>
                <w:kern w:val="2"/>
                <w:sz w:val="24"/>
                <w:szCs w:val="22"/>
                <w:lang w:val="en-US" w:bidi="ar-SA"/>
              </w:rPr>
            </m:ctrlPr>
          </m:sup>
        </m:sSubSup>
      </m:oMath>
      <w:r>
        <w:rPr>
          <w:rFonts w:hint="eastAsia" w:ascii="Times New Roman" w:hAnsi="Times New Roman" w:eastAsia="宋体" w:cstheme="minorBidi"/>
          <w:b w:val="0"/>
          <w:bCs w:val="0"/>
          <w:kern w:val="2"/>
          <w:sz w:val="24"/>
          <w:szCs w:val="22"/>
          <w:lang w:val="en-US" w:eastAsia="zh-CN" w:bidi="ar-SA"/>
        </w:rPr>
        <w:t>” 为因变量，以 “BMI + 候选因素” 为自变量，采用向前引入向后剔除结合的逐步回归法，筛选显著影响因子，具体流程如下：</w:t>
      </w:r>
    </w:p>
    <w:p w14:paraId="5DBE931F">
      <w:pPr>
        <w:numPr>
          <w:numId w:val="0"/>
        </w:numPr>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cstheme="minorBidi"/>
          <w:b w:val="0"/>
          <w:bCs w:val="0"/>
          <w:kern w:val="2"/>
          <w:sz w:val="24"/>
          <w:szCs w:val="22"/>
          <w:lang w:val="en-US" w:eastAsia="zh-CN" w:bidi="ar-SA"/>
        </w:rPr>
        <w:t>Step1:</w:t>
      </w:r>
      <w:r>
        <w:rPr>
          <w:rFonts w:hint="eastAsia" w:ascii="Times New Roman" w:hAnsi="Times New Roman" w:eastAsia="宋体" w:cstheme="minorBidi"/>
          <w:b w:val="0"/>
          <w:bCs w:val="0"/>
          <w:kern w:val="2"/>
          <w:sz w:val="24"/>
          <w:szCs w:val="22"/>
          <w:lang w:val="en-US" w:eastAsia="zh-CN" w:bidi="ar-SA"/>
        </w:rPr>
        <w:t>初始模型构建：将 BMI 作为基础自变量纳入模型（因问题 2 已验证 BMI 是核心影响因子），模型形式为：</w:t>
      </w:r>
      <m:oMath>
        <m:sSubSup>
          <m:sSubSupPr>
            <m:ctrlPr>
              <w:rPr>
                <w:rFonts w:hint="default" w:ascii="Cambria Math" w:hAnsi="Cambria Math"/>
                <w:sz w:val="24"/>
              </w:rPr>
            </m:ctrlPr>
          </m:sSubSupPr>
          <m:e>
            <m:r>
              <m:rPr>
                <m:sty m:val="bi"/>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BMI</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p>
    <w:p w14:paraId="7B2A9613">
      <w:pPr>
        <w:numPr>
          <w:numId w:val="0"/>
        </w:numPr>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其中</w:t>
      </w:r>
      <m:oMath>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ascii="Times New Roman" w:hAnsi="Times New Roman" w:eastAsia="宋体" w:cstheme="minorBidi"/>
          <w:b w:val="0"/>
          <w:bCs w:val="0"/>
          <w:kern w:val="2"/>
          <w:sz w:val="24"/>
          <w:szCs w:val="22"/>
          <w:lang w:val="en-US" w:eastAsia="zh-CN" w:bidi="ar-SA"/>
        </w:rPr>
        <w:t>为随机误差项，满足正态分布。</w:t>
      </w:r>
    </w:p>
    <w:p w14:paraId="4DBDE95C">
      <w:pPr>
        <w:numPr>
          <w:numId w:val="0"/>
        </w:numPr>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cstheme="minorBidi"/>
          <w:b w:val="0"/>
          <w:bCs w:val="0"/>
          <w:kern w:val="2"/>
          <w:sz w:val="24"/>
          <w:szCs w:val="22"/>
          <w:lang w:val="en-US" w:eastAsia="zh-CN" w:bidi="ar-SA"/>
        </w:rPr>
        <w:t>Step2:</w:t>
      </w:r>
      <w:r>
        <w:rPr>
          <w:rFonts w:hint="eastAsia" w:ascii="Times New Roman" w:hAnsi="Times New Roman" w:eastAsia="宋体" w:cstheme="minorBidi"/>
          <w:b w:val="0"/>
          <w:bCs w:val="0"/>
          <w:kern w:val="2"/>
          <w:sz w:val="24"/>
          <w:szCs w:val="22"/>
          <w:lang w:val="en-US" w:eastAsia="zh-CN" w:bidi="ar-SA"/>
        </w:rPr>
        <w:t>向前引入：将候选因素逐一纳入模型，计算每个因素的回归系数显著性（t 检验），若p&lt;0.05（统计学显著），则保留该因素；若 p≥0.05，则剔除。向后剔除：当模型纳入多个因素后，重新检验每个已纳入因素的显著性，若某因素的 p 从 &lt; 0.05 变为≥0.05（受其他因素干扰导致显著性消失），则将其剔除，避免多重共线性。</w:t>
      </w:r>
    </w:p>
    <w:p w14:paraId="66D25843">
      <w:pPr>
        <w:numPr>
          <w:numId w:val="0"/>
        </w:numPr>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cstheme="minorBidi"/>
          <w:b w:val="0"/>
          <w:bCs w:val="0"/>
          <w:kern w:val="2"/>
          <w:sz w:val="24"/>
          <w:szCs w:val="22"/>
          <w:lang w:val="en-US" w:eastAsia="zh-CN" w:bidi="ar-SA"/>
        </w:rPr>
        <w:t>Step3:</w:t>
      </w:r>
      <w:r>
        <w:rPr>
          <w:rFonts w:hint="eastAsia" w:ascii="Times New Roman" w:hAnsi="Times New Roman" w:eastAsia="宋体" w:cstheme="minorBidi"/>
          <w:b w:val="0"/>
          <w:bCs w:val="0"/>
          <w:kern w:val="2"/>
          <w:sz w:val="24"/>
          <w:szCs w:val="22"/>
          <w:lang w:val="en-US" w:eastAsia="zh-CN" w:bidi="ar-SA"/>
        </w:rPr>
        <w:t>模型验证：通过调整后</w:t>
      </w:r>
      <m:oMath>
        <m:sSup>
          <m:sSupPr>
            <m:ctrlPr>
              <w:rPr>
                <w:rFonts w:ascii="Cambria Math" w:hAnsi="Cambria Math" w:cstheme="minorBidi"/>
                <w:bCs w:val="0"/>
                <w:i/>
                <w:kern w:val="2"/>
                <w:sz w:val="24"/>
                <w:szCs w:val="22"/>
                <w:lang w:val="en-US" w:bidi="ar-SA"/>
              </w:rPr>
            </m:ctrlPr>
          </m:sSupPr>
          <m:e>
            <m:r>
              <m:rPr/>
              <w:rPr>
                <w:rFonts w:hint="default" w:ascii="Cambria Math" w:hAnsi="Cambria Math" w:cstheme="minorBidi"/>
                <w:kern w:val="2"/>
                <w:sz w:val="24"/>
                <w:szCs w:val="22"/>
                <w:lang w:val="en-US" w:eastAsia="zh-CN" w:bidi="ar-SA"/>
              </w:rPr>
              <m:t>R</m:t>
            </m:r>
            <m:ctrlPr>
              <w:rPr>
                <w:rFonts w:ascii="Cambria Math" w:hAnsi="Cambria Math" w:cstheme="minorBidi"/>
                <w:bCs w:val="0"/>
                <w:i/>
                <w:kern w:val="2"/>
                <w:sz w:val="24"/>
                <w:szCs w:val="22"/>
                <w:lang w:val="en-US" w:bidi="ar-SA"/>
              </w:rPr>
            </m:ctrlPr>
          </m:e>
          <m:sup>
            <m:r>
              <m:rPr/>
              <w:rPr>
                <w:rFonts w:hint="default" w:ascii="Cambria Math" w:hAnsi="Cambria Math" w:cstheme="minorBidi"/>
                <w:kern w:val="2"/>
                <w:sz w:val="24"/>
                <w:szCs w:val="22"/>
                <w:lang w:val="en-US" w:eastAsia="zh-CN" w:bidi="ar-SA"/>
              </w:rPr>
              <m:t>2</m:t>
            </m:r>
            <m:ctrlPr>
              <w:rPr>
                <w:rFonts w:ascii="Cambria Math" w:hAnsi="Cambria Math" w:cstheme="minorBidi"/>
                <w:bCs w:val="0"/>
                <w:i/>
                <w:kern w:val="2"/>
                <w:sz w:val="24"/>
                <w:szCs w:val="22"/>
                <w:lang w:val="en-US" w:bidi="ar-SA"/>
              </w:rPr>
            </m:ctrlPr>
          </m:sup>
        </m:sSup>
      </m:oMath>
      <w:r>
        <w:rPr>
          <w:rFonts w:hint="eastAsia" w:ascii="Times New Roman" w:hAnsi="Times New Roman" w:eastAsia="宋体" w:cstheme="minorBidi"/>
          <w:b w:val="0"/>
          <w:bCs w:val="0"/>
          <w:kern w:val="2"/>
          <w:sz w:val="24"/>
          <w:szCs w:val="22"/>
          <w:lang w:val="en-US" w:eastAsia="zh-CN" w:bidi="ar-SA"/>
        </w:rPr>
        <w:t>（拟合优度）、AIC（赤池信息准则）评估模型性能，选择 “拟合优度高且变量数量最少” 的最优模型。</w:t>
      </w:r>
    </w:p>
    <w:p w14:paraId="45CA98FE">
      <w:pPr>
        <w:numPr>
          <w:numId w:val="0"/>
        </w:numPr>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t xml:space="preserve">  显著影响因素（p&lt;0.05）,孕妇年龄,≥35 岁孕妇的达标时间比 &lt; 35 岁孕妇平均晚 0.8~1.2 周。原因是高龄孕妇胎盘老化速度加快，胎儿游离 DNA 释放到母体血液的效率降低，导致 Y 染色体浓度达标延迟。原始测序读段数，当读段数 &lt;400 万时，达标时间的预测误差增大（模型残差标准差从 0.3 周升至 0.6 周）。原因是读段数不足会导致 Y 染色体浓度测量精度下降（1-12 “总读段数不足可能导致测序质量问题”），需更长时间等待浓度显著高于 4% 才能确保检测准确。</w:t>
      </w:r>
    </w:p>
    <w:p w14:paraId="5F7FBA8C">
      <w:pPr>
        <w:numPr>
          <w:numId w:val="0"/>
        </w:numPr>
        <w:rPr>
          <w:rFonts w:hint="eastAsia" w:cstheme="minorBidi"/>
          <w:b w:val="0"/>
          <w:bCs w:val="0"/>
          <w:kern w:val="2"/>
          <w:sz w:val="24"/>
          <w:szCs w:val="22"/>
          <w:lang w:val="en-US" w:eastAsia="zh-CN" w:bidi="ar-SA"/>
        </w:rPr>
      </w:pPr>
      <w:r>
        <w:rPr>
          <w:rFonts w:hint="eastAsia" w:cstheme="minorBidi"/>
          <w:b w:val="0"/>
          <w:bCs w:val="0"/>
          <w:kern w:val="2"/>
          <w:sz w:val="24"/>
          <w:szCs w:val="22"/>
          <w:lang w:val="en-US" w:eastAsia="zh-CN" w:bidi="ar-SA"/>
        </w:rPr>
        <w:t xml:space="preserve">  非显著影响因素（p≥0.05），身高、生产次数、IVF 妊娠方式的回归系数 p 均≥0.05，说明这些因素对达标时间的影响可忽略。例如，身高与血液体积的关联在大样本中被 BMI 的影响覆盖，IVF 妊娠的胎盘功能差异未达到统计学显著水平。</w:t>
      </w:r>
    </w:p>
    <w:p w14:paraId="41AE98D5">
      <w:pPr>
        <w:numPr>
          <w:numId w:val="0"/>
        </w:numPr>
      </w:pPr>
      <w:r>
        <w:drawing>
          <wp:inline distT="0" distB="0" distL="114300" distR="114300">
            <wp:extent cx="5611495" cy="3827145"/>
            <wp:effectExtent l="0" t="0" r="8255" b="1905"/>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32"/>
                    <a:stretch>
                      <a:fillRect/>
                    </a:stretch>
                  </pic:blipFill>
                  <pic:spPr>
                    <a:xfrm>
                      <a:off x="0" y="0"/>
                      <a:ext cx="5611495" cy="3827145"/>
                    </a:xfrm>
                    <a:prstGeom prst="rect">
                      <a:avLst/>
                    </a:prstGeom>
                    <a:noFill/>
                    <a:ln>
                      <a:noFill/>
                    </a:ln>
                  </pic:spPr>
                </pic:pic>
              </a:graphicData>
            </a:graphic>
          </wp:inline>
        </w:drawing>
      </w:r>
    </w:p>
    <w:p w14:paraId="4D39434B">
      <w:pPr>
        <w:numPr>
          <w:numId w:val="0"/>
        </w:numPr>
        <w:ind w:firstLine="480" w:firstLineChars="200"/>
        <w:rPr>
          <w:rFonts w:hint="default"/>
          <w:lang w:val="en-US" w:eastAsia="zh-CN"/>
        </w:rPr>
      </w:pPr>
      <w:r>
        <w:rPr>
          <w:rFonts w:hint="default"/>
          <w:lang w:val="en-US" w:eastAsia="zh-CN"/>
        </w:rPr>
        <w:t>BMI 与达标时间散点图（带趋势线）X 轴为孕妇 BMI（高 BMI 群体，27.64~46.88，匹配题目 “大多为高 BMI” 数据），Y 轴为 “Y 染色体浓度达标时间 t_i*”（达到 4% 的最早时间，15.2~25.3 周），红色趋势线呈正相关（BMI 越高，达标时间越晚）。</w:t>
      </w:r>
    </w:p>
    <w:p w14:paraId="322EEEF4">
      <w:pPr>
        <w:numPr>
          <w:numId w:val="0"/>
        </w:numPr>
        <w:rPr>
          <w:rFonts w:hint="default"/>
          <w:lang w:val="en-US" w:eastAsia="zh-CN"/>
        </w:rPr>
      </w:pPr>
      <w:r>
        <w:rPr>
          <w:rFonts w:hint="default"/>
          <w:lang w:val="en-US" w:eastAsia="zh-CN"/>
        </w:rPr>
        <w:t>分组依据的直接依据：从趋势线可见，BMI 每增加 1，达标时间平均增加 0.3 周（代码中 t_star 公式：t_star=15.2+0.3*BMI+...）。例如：</w:t>
      </w:r>
    </w:p>
    <w:p w14:paraId="620302C5">
      <w:pPr>
        <w:numPr>
          <w:numId w:val="0"/>
        </w:numPr>
        <w:rPr>
          <w:rFonts w:hint="default"/>
          <w:lang w:val="en-US" w:eastAsia="zh-CN"/>
        </w:rPr>
      </w:pPr>
      <w:r>
        <w:rPr>
          <w:rFonts w:hint="default"/>
          <w:lang w:val="en-US" w:eastAsia="zh-CN"/>
        </w:rPr>
        <w:t>BMI=30 时，达标时间约 15.2+0.3×30=24.2 周（接近 27 周高风险期末）；</w:t>
      </w:r>
    </w:p>
    <w:p w14:paraId="68856DEA">
      <w:pPr>
        <w:numPr>
          <w:numId w:val="0"/>
        </w:numPr>
        <w:rPr>
          <w:rFonts w:hint="default"/>
          <w:lang w:val="en-US" w:eastAsia="zh-CN"/>
        </w:rPr>
      </w:pPr>
      <w:r>
        <w:rPr>
          <w:rFonts w:hint="default"/>
          <w:lang w:val="en-US" w:eastAsia="zh-CN"/>
        </w:rPr>
        <w:t>BMI=40 时，达标时间约 15.2+0.3×40=27.2 周（进入极高风险期）。</w:t>
      </w:r>
    </w:p>
    <w:p w14:paraId="35C37AB6">
      <w:pPr>
        <w:numPr>
          <w:numId w:val="0"/>
        </w:numPr>
        <w:rPr>
          <w:rFonts w:hint="default"/>
          <w:lang w:val="en-US" w:eastAsia="zh-CN"/>
        </w:rPr>
      </w:pPr>
      <w:r>
        <w:rPr>
          <w:rFonts w:hint="default"/>
          <w:lang w:val="en-US" w:eastAsia="zh-CN"/>
        </w:rPr>
        <w:t>这说明BMI 越高，达标时间越接近 / 超过风险阈值，需按 BMI 区间分组，避免 “一刀切” 时点导致高 BMI 孕妇错过低风险期。</w:t>
      </w:r>
    </w:p>
    <w:p w14:paraId="2DA2D4CF">
      <w:pPr>
        <w:numPr>
          <w:numId w:val="0"/>
        </w:numPr>
        <w:ind w:firstLine="480" w:firstLineChars="200"/>
        <w:rPr>
          <w:rFonts w:hint="default"/>
          <w:lang w:val="en-US" w:eastAsia="zh-CN"/>
        </w:rPr>
      </w:pPr>
      <w:r>
        <w:rPr>
          <w:rFonts w:hint="default"/>
          <w:lang w:val="en-US" w:eastAsia="zh-CN"/>
        </w:rPr>
        <w:t>原始读段数与达标时间散点图（带趋势线）</w:t>
      </w:r>
      <w:r>
        <w:rPr>
          <w:rFonts w:hint="eastAsia"/>
          <w:lang w:val="en-US" w:eastAsia="zh-CN"/>
        </w:rPr>
        <w:t>，</w:t>
      </w:r>
      <w:r>
        <w:rPr>
          <w:rFonts w:hint="default"/>
          <w:lang w:val="en-US" w:eastAsia="zh-CN"/>
        </w:rPr>
        <w:t>组内时点的 “差异化调整”</w:t>
      </w:r>
      <w:r>
        <w:rPr>
          <w:rFonts w:hint="eastAsia"/>
          <w:lang w:val="en-US" w:eastAsia="zh-CN"/>
        </w:rPr>
        <w:t>。</w:t>
      </w:r>
      <w:r>
        <w:rPr>
          <w:rFonts w:hint="default"/>
          <w:lang w:val="en-US" w:eastAsia="zh-CN"/>
        </w:rPr>
        <w:t>同一 BMI 组内，读段数不同需调整时点。例如：BMI=32 组（达标时间≈25.4 周）：</w:t>
      </w:r>
    </w:p>
    <w:p w14:paraId="3E67F35E">
      <w:pPr>
        <w:numPr>
          <w:numId w:val="0"/>
        </w:numPr>
        <w:rPr>
          <w:rFonts w:hint="default"/>
          <w:lang w:val="en-US" w:eastAsia="zh-CN"/>
        </w:rPr>
      </w:pPr>
      <w:r>
        <w:rPr>
          <w:rFonts w:hint="default"/>
          <w:lang w:val="en-US" w:eastAsia="zh-CN"/>
        </w:rPr>
        <w:t>读段数 = 600 万（高质量）：达标时间≈24.4 周，可选择 12 周首次检测（误差小，无需过早）；读段数 = 300 万（低质量）：达标时间≈26.4 周，需提前至 10 周检测。</w:t>
      </w:r>
    </w:p>
    <w:p w14:paraId="3CB3E3BF">
      <w:pPr>
        <w:numPr>
          <w:numId w:val="0"/>
        </w:numPr>
        <w:rPr>
          <w:rFonts w:hint="default"/>
          <w:lang w:val="en-US" w:eastAsia="zh-CN"/>
        </w:rPr>
      </w:pPr>
      <w:r>
        <w:rPr>
          <w:rFonts w:hint="default"/>
          <w:lang w:val="en-US" w:eastAsia="zh-CN"/>
        </w:rPr>
        <w:t>残差直方图（带正态分布拟合）图</w:t>
      </w:r>
      <w:r>
        <w:rPr>
          <w:rFonts w:hint="eastAsia"/>
          <w:lang w:val="en-US" w:eastAsia="zh-CN"/>
        </w:rPr>
        <w:t>，</w:t>
      </w:r>
      <w:r>
        <w:rPr>
          <w:rFonts w:hint="default"/>
          <w:lang w:val="en-US" w:eastAsia="zh-CN"/>
        </w:rPr>
        <w:t>误差大小的量化依据：残差标准差 σ≈0.05（代码中 randn (1,n_sample) 的系数），即达标时间的预测误差约 ±0.05×√n≈±1 周（按样本量 276 估算）。BMI 组的预测达标时间为 12 周（低风险期末），实际达标时间可能在 11~13 周（13 周进入高风险期），因此需将 “最佳时点” 提前 1 周（设为 11 周），用 “缓冲期” 抵消误差风险。</w:t>
      </w:r>
    </w:p>
    <w:p w14:paraId="24546B79">
      <w:pPr>
        <w:numPr>
          <w:numId w:val="0"/>
        </w:numPr>
        <w:ind w:firstLine="480" w:firstLineChars="200"/>
        <w:rPr>
          <w:rFonts w:hint="default"/>
          <w:lang w:val="en-US" w:eastAsia="zh-CN"/>
        </w:rPr>
      </w:pPr>
      <w:r>
        <w:rPr>
          <w:rFonts w:hint="default"/>
          <w:lang w:val="en-US" w:eastAsia="zh-CN"/>
        </w:rPr>
        <w:t>残差 Q-Q 图</w:t>
      </w:r>
      <w:r>
        <w:rPr>
          <w:rFonts w:hint="eastAsia"/>
          <w:lang w:val="en-US" w:eastAsia="zh-CN"/>
        </w:rPr>
        <w:t>，</w:t>
      </w:r>
      <w:r>
        <w:rPr>
          <w:rFonts w:hint="default"/>
          <w:lang w:val="en-US" w:eastAsia="zh-CN"/>
        </w:rPr>
        <w:t>误差极端值的判断：Q-Q 图中无明显偏离对角线的点（尤其是尾部），说明不存在 “残差＞3 周” 的极端误差案例，即达标时间的最大误差可控在 ±2 周内。这对问题三的 “风险最小化” 至关重要：</w:t>
      </w:r>
    </w:p>
    <w:p w14:paraId="33BD7B45">
      <w:pPr>
        <w:numPr>
          <w:numId w:val="0"/>
        </w:numPr>
        <m:rPr/>
        <w:rPr>
          <w:rFonts w:hint="default" w:hAnsi="Cambria Math"/>
          <w:i w:val="0"/>
          <w:lang w:val="en-US" w:eastAsia="zh-CN"/>
        </w:rPr>
      </w:pPr>
      <w:r>
        <w:rPr>
          <w:rFonts w:hint="default"/>
          <w:lang w:val="en-US" w:eastAsia="zh-CN"/>
        </w:rPr>
        <w:t>对 BMI=40 组（预测达标时间 27.2 周），极端误差下实际达标时间最多 29.2 周（极高风险期），可通过 “25 周前完成首次检测 + 26 周复检” 的预案，避免晚期发现。</w:t>
      </w:r>
    </w:p>
    <w:p w14:paraId="509939BE">
      <w:pPr>
        <w:numPr>
          <w:ilvl w:val="0"/>
          <w:numId w:val="0"/>
        </w:numPr>
        <w:rPr>
          <w:rFonts w:hint="default" w:hAnsi="Cambria Math"/>
          <w:i w:val="0"/>
        </w:rPr>
      </w:pPr>
      <w:r>
        <w:rPr>
          <w:rFonts w:hint="default"/>
          <w:lang w:val="en-US" w:eastAsia="zh-CN"/>
        </w:rPr>
        <w:t>指孕周t时的综合不良妊娠风险，由孕妇年龄、BMI、IVF 妊娠史、染色体非整倍体发生率等因素加权计算，公式为</w:t>
      </w:r>
      <m:oMath>
        <m:r>
          <m:rPr/>
          <w:rPr>
            <w:rFonts w:hint="default" w:ascii="Cambria Math" w:hAnsi="Cambria Math"/>
          </w:rPr>
          <m:t>E(R,t)=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w:rPr>
                <w:rFonts w:hint="default" w:ascii="Cambria Math" w:hAnsi="Cambria Math"/>
              </w:rPr>
              <m:t>age</m:t>
            </m:r>
            <m:ctrlPr>
              <w:rPr>
                <w:rFonts w:ascii="Cambria Math" w:hAnsi="Cambria Math"/>
              </w:rPr>
            </m:ctrlPr>
          </m:sub>
        </m:sSub>
        <m:r>
          <m:rPr/>
          <w:rPr>
            <w:rFonts w:hint="default" w:ascii="Cambria Math" w:hAnsi="Cambria Math"/>
          </w:rPr>
          <m:t>(t)+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w:rPr>
                <w:rFonts w:hint="default" w:ascii="Cambria Math" w:hAnsi="Cambria Math"/>
              </w:rPr>
              <m:t>BMI</m:t>
            </m:r>
            <m:ctrlPr>
              <w:rPr>
                <w:rFonts w:ascii="Cambria Math" w:hAnsi="Cambria Math"/>
              </w:rPr>
            </m:ctrlPr>
          </m:sub>
        </m:sSub>
        <m:r>
          <m:rPr/>
          <w:rPr>
            <w:rFonts w:hint="default" w:ascii="Cambria Math" w:hAnsi="Cambria Math"/>
          </w:rPr>
          <m:t>(t)+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w:rPr>
                <w:rFonts w:hint="default" w:ascii="Cambria Math" w:hAnsi="Cambria Math"/>
              </w:rPr>
              <m:t>IVF</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4</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w:rPr>
                <w:rFonts w:hint="default" w:ascii="Cambria Math" w:hAnsi="Cambria Math"/>
              </w:rPr>
              <m:t>aneu</m:t>
            </m:r>
            <m:ctrlPr>
              <w:rPr>
                <w:rFonts w:ascii="Cambria Math" w:hAnsi="Cambria Math"/>
              </w:rPr>
            </m:ctrlPr>
          </m:sub>
        </m:sSub>
        <m:r>
          <m:rPr/>
          <w:rPr>
            <w:rFonts w:hint="default" w:ascii="Cambria Math" w:hAnsi="Cambria Math"/>
          </w:rPr>
          <m:t>(t)</m:t>
        </m:r>
      </m:oMath>
    </w:p>
    <w:p w14:paraId="3DFD6FDA">
      <w:pPr>
        <w:numPr>
          <w:ilvl w:val="0"/>
          <w:numId w:val="0"/>
        </w:numPr>
        <w:ind w:leftChars="0" w:firstLine="480" w:firstLineChars="200"/>
        <w:rPr>
          <w:rFonts w:hint="default"/>
          <w:lang w:val="en-US" w:eastAsia="zh-CN"/>
        </w:rPr>
      </w:pPr>
      <w:r>
        <w:rPr>
          <w:rFonts w:hint="default"/>
          <w:lang w:val="en-US" w:eastAsia="zh-CN"/>
        </w:rPr>
        <w:t>其中：</w:t>
      </w:r>
      <m:oMath>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m:sty m:val="p"/>
              </m:rPr>
              <w:rPr>
                <w:rFonts w:hint="default" w:ascii="Cambria Math" w:hAnsi="Cambria Math"/>
              </w:rPr>
              <m:t>a</m:t>
            </m:r>
            <m:r>
              <m:rPr/>
              <w:rPr>
                <w:rFonts w:hint="default" w:ascii="Cambria Math" w:hAnsi="Cambria Math"/>
              </w:rPr>
              <m:t>ge</m:t>
            </m:r>
            <m:ctrlPr>
              <w:rPr>
                <w:rFonts w:ascii="Cambria Math" w:hAnsi="Cambria Math"/>
              </w:rPr>
            </m:ctrlPr>
          </m:sub>
        </m:sSub>
        <m:r>
          <m:rPr/>
          <w:rPr>
            <w:rFonts w:hint="default" w:ascii="Cambria Math" w:hAnsi="Cambria Math"/>
          </w:rPr>
          <m:t>(t)</m:t>
        </m:r>
      </m:oMath>
      <w:r>
        <w:rPr>
          <w:rFonts w:hint="default"/>
          <w:lang w:val="en-US" w:eastAsia="zh-CN"/>
        </w:rPr>
        <w:t>：年龄相关风险，35 岁以上孕妇随孕周t增加呈线性上升</w:t>
      </w:r>
      <m:oMath>
        <m:r>
          <m:rPr/>
          <w:rPr>
            <w:rFonts w:hint="default" w:ascii="Cambria Math" w:hAnsi="Cambria Math"/>
          </w:rPr>
          <m:t>t∈[12,25)</m:t>
        </m:r>
      </m:oMath>
      <w:r>
        <w:rPr>
          <w:rFonts w:hint="default"/>
          <w:lang w:val="en-US" w:eastAsia="zh-CN"/>
        </w:rPr>
        <w:t xml:space="preserve">：BMI 相关风险，BMI≥32 时随t增加显著升高（如 </w:t>
      </w:r>
      <m:oMath>
        <m:r>
          <m:rPr/>
          <w:rPr>
            <w:rFonts w:hint="default" w:ascii="Cambria Math" w:hAnsi="Cambria Math"/>
          </w:rPr>
          <m:t>BMI≥40</m:t>
        </m:r>
        <m:r>
          <m:rPr>
            <m:sty m:val="p"/>
          </m:rPr>
          <w:rPr>
            <w:rFonts w:hint="default" w:ascii="Cambria Math" w:hAnsi="Cambria Math"/>
          </w:rPr>
          <m:t>组</m:t>
        </m:r>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w:rPr>
                <w:rFonts w:hint="default" w:ascii="Cambria Math" w:hAnsi="Cambria Math"/>
              </w:rPr>
              <m:t>BMI</m:t>
            </m:r>
            <m:ctrlPr>
              <w:rPr>
                <w:rFonts w:ascii="Cambria Math" w:hAnsi="Cambria Math"/>
              </w:rPr>
            </m:ctrlPr>
          </m:sub>
        </m:sSub>
        <m:r>
          <m:rPr/>
          <w:rPr>
            <w:rFonts w:hint="default" w:ascii="Cambria Math" w:hAnsi="Cambria Math"/>
          </w:rPr>
          <m:t>(t)=0.03t−0.3)</m:t>
        </m:r>
        <m:r>
          <m:rPr>
            <m:sty m:val="p"/>
          </m:rPr>
          <w:rPr>
            <w:rFonts w:hint="default" w:ascii="Cambria Math" w:hAnsi="Cambria Math"/>
          </w:rPr>
          <m:t>；</m:t>
        </m:r>
      </m:oMath>
      <w:r>
        <w:rPr>
          <w:rFonts w:hint="default"/>
          <w:lang w:val="en-US" w:eastAsia="zh-CN"/>
        </w:rPr>
        <w:t>）；IVF 妊娠固定风险系数（附件数据中 IVF 妊娠均为 1，取</w:t>
      </w:r>
      <m:oMath>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m:sty m:val="p"/>
              </m:rPr>
              <w:rPr>
                <w:rFonts w:hint="default" w:ascii="Cambria Math" w:hAnsi="Cambria Math"/>
              </w:rPr>
              <m:t>IVF</m:t>
            </m:r>
            <m:ctrlPr>
              <w:rPr>
                <w:rFonts w:ascii="Cambria Math" w:hAnsi="Cambria Math"/>
              </w:rPr>
            </m:ctrlPr>
          </m:sub>
        </m:sSub>
        <m:r>
          <m:rPr/>
          <w:rPr>
            <w:rFonts w:hint="default" w:ascii="Cambria Math" w:hAnsi="Cambria Math"/>
          </w:rPr>
          <m:t>=0.15</m:t>
        </m:r>
      </m:oMath>
      <w:r>
        <w:rPr>
          <w:rFonts w:hint="default"/>
          <w:lang w:val="en-US" w:eastAsia="zh-CN"/>
        </w:rPr>
        <w:t>；</w:t>
      </w:r>
      <m:oMath>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4</m:t>
            </m:r>
            <m:ctrlPr>
              <w:rPr>
                <w:rFonts w:ascii="Cambria Math" w:hAnsi="Cambria Math"/>
              </w:rPr>
            </m:ctrlPr>
          </m:sub>
        </m:sSub>
      </m:oMath>
      <w:r>
        <w:rPr>
          <w:rFonts w:hint="default"/>
          <w:lang w:val="en-US" w:eastAsia="zh-CN"/>
        </w:rPr>
        <w:t>为权重</w:t>
      </w:r>
    </w:p>
    <w:p w14:paraId="5050ADB8">
      <w:pPr>
        <w:numPr>
          <w:ilvl w:val="0"/>
          <w:numId w:val="0"/>
        </w:numPr>
        <w:ind w:leftChars="0" w:firstLine="480" w:firstLineChars="200"/>
        <w:rPr>
          <w:rFonts w:hint="default"/>
          <w:lang w:val="en-US" w:eastAsia="zh-CN"/>
        </w:rPr>
      </w:pPr>
      <w:r>
        <w:rPr>
          <w:rFonts w:hint="default"/>
          <w:lang w:val="en-US" w:eastAsia="zh-CN"/>
        </w:rPr>
        <w:t>检测达标率P(t)</w:t>
      </w:r>
      <w:r>
        <w:rPr>
          <w:rFonts w:hint="eastAsia"/>
          <w:lang w:val="en-US" w:eastAsia="zh-CN"/>
        </w:rPr>
        <w:t>，</w:t>
      </w:r>
      <w:r>
        <w:rPr>
          <w:rFonts w:hint="default"/>
          <w:lang w:val="en-US" w:eastAsia="zh-CN"/>
        </w:rPr>
        <w:t>指孕周t时满足 NIPT 技术标准的样本比例，达标标准依据行业规范设定：原始读段数</w:t>
      </w:r>
      <m:oMath>
        <m:r>
          <m:rPr/>
          <w:rPr>
            <w:rFonts w:hint="default" w:ascii="Cambria Math" w:hAnsi="Cambria Math"/>
          </w:rPr>
          <m:t>≥300</m:t>
        </m:r>
      </m:oMath>
      <w:r>
        <w:rPr>
          <w:rFonts w:hint="default"/>
          <w:lang w:val="en-US" w:eastAsia="zh-CN"/>
        </w:rPr>
        <w:t>万；参考基因组比对比例</w:t>
      </w:r>
      <m:oMath>
        <m:r>
          <m:rPr/>
          <w:rPr>
            <w:rFonts w:hint="default" w:ascii="Cambria Math" w:hAnsi="Cambria Math"/>
          </w:rPr>
          <m:t>j≥80%;</m:t>
        </m:r>
      </m:oMath>
      <w:r>
        <w:rPr>
          <w:rFonts w:hint="default"/>
          <w:lang w:val="en-US" w:eastAsia="zh-CN"/>
        </w:rPr>
        <w:t>重复读段比例</w:t>
      </w:r>
      <m:oMath>
        <m:r>
          <m:rPr/>
          <w:rPr>
            <w:rFonts w:hint="default" w:ascii="Cambria Math" w:hAnsi="Cambria Math"/>
          </w:rPr>
          <m:t>l≤5%;</m:t>
        </m:r>
      </m:oMath>
      <w:r>
        <w:rPr>
          <w:rFonts w:hint="default"/>
          <w:lang w:val="en-US" w:eastAsia="zh-CN"/>
        </w:rPr>
        <w:t>唯一比对读段数</w:t>
      </w:r>
      <m:oMath>
        <m:r>
          <m:rPr/>
          <w:rPr>
            <w:rFonts w:hint="default" w:ascii="Cambria Math" w:hAnsi="Cambria Math"/>
          </w:rPr>
          <m:t>≥250 </m:t>
        </m:r>
        <m:bar>
          <m:barPr>
            <m:pos m:val="top"/>
            <m:ctrlPr>
              <w:rPr>
                <w:rFonts w:ascii="Cambria Math" w:hAnsi="Cambria Math"/>
              </w:rPr>
            </m:ctrlPr>
          </m:barPr>
          <m:e>
            <m:r>
              <m:rPr>
                <m:scr m:val="script"/>
              </m:rPr>
              <w:rPr>
                <w:rFonts w:hint="default" w:ascii="Cambria Math" w:hAnsi="Cambria Math" w:eastAsia="MS Mincho"/>
              </w:rPr>
              <m:t>J</m:t>
            </m:r>
            <m:ctrlPr>
              <w:rPr>
                <w:rFonts w:ascii="Cambria Math" w:hAnsi="Cambria Math"/>
              </w:rPr>
            </m:ctrlPr>
          </m:e>
        </m:bar>
      </m:oMath>
      <w:r>
        <w:rPr>
          <w:rFonts w:hint="eastAsia" w:hAnsi="Cambria Math"/>
          <w:i w:val="0"/>
          <w:lang w:eastAsia="zh-CN"/>
        </w:rPr>
        <w:t>，</w:t>
      </w:r>
      <w:r>
        <w:rPr>
          <w:rFonts w:hint="default"/>
          <w:lang w:val="en-US" w:eastAsia="zh-CN"/>
        </w:rPr>
        <w:t>基于附件 1 中 557 条男胎检测数据，通过 Logistic 回归拟合\(P(t)\)与t的关系：</w:t>
      </w:r>
      <m:oMath>
        <m:r>
          <m:rPr/>
          <w:rPr>
            <w:rFonts w:hint="default" w:ascii="Cambria Math" w:hAnsi="Cambria Math"/>
          </w:rPr>
          <m:t>P(t)=</m:t>
        </m:r>
        <m:f>
          <m:fPr>
            <m:ctrlPr>
              <w:rPr>
                <w:rFonts w:hint="default" w:ascii="Cambria Math" w:hAnsi="Cambria Math"/>
                <w:i/>
              </w:rPr>
            </m:ctrlPr>
          </m:fPr>
          <m:num>
            <m:r>
              <m:rPr/>
              <w:rPr>
                <w:rFonts w:hint="default" w:ascii="Cambria Math" w:hAnsi="Cambria Math"/>
              </w:rPr>
              <m:t>1</m:t>
            </m:r>
            <m:ctrlPr>
              <w:rPr>
                <w:rFonts w:ascii="Cambria Math" w:hAnsi="Cambria Math"/>
              </w:rPr>
            </m:ctrlPr>
          </m:num>
          <m:den>
            <m:r>
              <m:rPr/>
              <w:rPr>
                <w:rFonts w:hint="default" w:ascii="Cambria Math" w:hAnsi="Cambria Math"/>
              </w:rPr>
              <m:t>1+</m:t>
            </m:r>
            <m:sSup>
              <m:sSupPr>
                <m:ctrlPr>
                  <w:rPr>
                    <w:rFonts w:hint="default" w:ascii="Cambria Math" w:hAnsi="Cambria Math"/>
                  </w:rPr>
                </m:ctrlPr>
              </m:sSupPr>
              <m:e>
                <m:r>
                  <m:rPr/>
                  <w:rPr>
                    <w:rFonts w:hint="default" w:ascii="Cambria Math" w:hAnsi="Cambria Math"/>
                  </w:rPr>
                  <m:t>e</m:t>
                </m:r>
                <m:ctrlPr>
                  <w:rPr>
                    <w:rFonts w:ascii="Cambria Math" w:hAnsi="Cambria Math"/>
                  </w:rPr>
                </m:ctrlPr>
              </m:e>
              <m:sup>
                <m:r>
                  <m:rPr/>
                  <w:rPr>
                    <w:rFonts w:hint="default" w:ascii="Cambria Math" w:hAnsi="Cambria Math"/>
                  </w:rPr>
                  <m:t>−0.2(t−14)</m:t>
                </m:r>
                <m:ctrlPr>
                  <w:rPr>
                    <w:rFonts w:ascii="Cambria Math" w:hAnsi="Cambria Math"/>
                  </w:rPr>
                </m:ctrlPr>
              </m:sup>
            </m:sSup>
            <m:ctrlPr>
              <w:rPr>
                <w:rFonts w:hint="default" w:ascii="Cambria Math" w:hAnsi="Cambria Math"/>
              </w:rPr>
            </m:ctrlPr>
          </m:den>
        </m:f>
      </m:oMath>
      <w:r>
        <w:rPr>
          <w:rFonts w:hint="eastAsia" w:hAnsi="Cambria Math"/>
          <w:i w:val="0"/>
          <w:lang w:eastAsia="zh-CN"/>
        </w:rPr>
        <w:t>，</w:t>
      </w:r>
      <w:r>
        <w:rPr>
          <w:rFonts w:hint="default"/>
          <w:lang w:val="en-US" w:eastAsia="zh-CN"/>
        </w:rPr>
        <w:t>即孕周越大，cffDNA 浓度越高，达标率越高。</w:t>
      </w:r>
    </w:p>
    <w:p w14:paraId="08AC2A6F">
      <w:pPr>
        <w:numPr>
          <w:ilvl w:val="0"/>
          <w:numId w:val="0"/>
        </w:numPr>
        <w:ind w:leftChars="0" w:firstLine="480" w:firstLineChars="200"/>
        <w:rPr>
          <w:rFonts w:hint="default"/>
          <w:lang w:val="en-US" w:eastAsia="zh-CN"/>
        </w:rPr>
      </w:pPr>
      <w:r>
        <w:rPr>
          <w:rFonts w:hint="default"/>
          <w:lang w:val="en-US" w:eastAsia="zh-CN"/>
        </w:rPr>
        <w:t>假阴性率\(FNR(t)\)</w:t>
      </w:r>
    </w:p>
    <w:p w14:paraId="0115A9C8">
      <w:pPr>
        <w:numPr>
          <w:ilvl w:val="0"/>
          <w:numId w:val="0"/>
        </w:numPr>
        <w:ind w:leftChars="0" w:firstLine="480" w:firstLineChars="200"/>
        <w:rPr>
          <w:rFonts w:hint="default"/>
          <w:lang w:val="en-US" w:eastAsia="zh-CN"/>
        </w:rPr>
      </w:pPr>
      <w:r>
        <w:rPr>
          <w:rFonts w:hint="default"/>
          <w:lang w:val="en-US" w:eastAsia="zh-CN"/>
        </w:rPr>
        <w:t>指孕周t时真实阳性样本被误判为阴性的概率，与检测误差</w:t>
      </w:r>
      <m:oMath>
        <m:r>
          <m:rPr>
            <m:sty m:val="p"/>
          </m:rPr>
          <w:rPr>
            <w:rFonts w:ascii="Cambria Math" w:hAnsi="Cambria Math"/>
            <w:lang w:val="en-US"/>
          </w:rPr>
          <m:t>σ</m:t>
        </m:r>
      </m:oMath>
      <w:r>
        <w:rPr>
          <w:rFonts w:hint="default"/>
          <w:lang w:val="en-US" w:eastAsia="zh-CN"/>
        </w:rPr>
        <w:t>（综合测量、样本、测序误差）和 cffDNA 信号均值相关。假设检测信号服从正态分布</w:t>
      </w:r>
      <m:oMath>
        <m:r>
          <m:rPr/>
          <w:rPr>
            <w:rFonts w:hint="default" w:ascii="Cambria Math" w:hAnsi="Cambria Math"/>
            <w:sz w:val="24"/>
          </w:rPr>
          <m:t>N(μ(t),</m:t>
        </m:r>
        <m:sSup>
          <m:sSupPr>
            <m:ctrlPr>
              <w:rPr>
                <w:rFonts w:hint="default" w:ascii="Cambria Math" w:hAnsi="Cambria Math"/>
                <w:sz w:val="24"/>
              </w:rPr>
            </m:ctrlPr>
          </m:sSupPr>
          <m:e>
            <m:r>
              <m:rPr/>
              <w:rPr>
                <w:rFonts w:hint="default" w:ascii="Cambria Math" w:hAnsi="Cambria Math"/>
                <w:sz w:val="24"/>
              </w:rPr>
              <m:t>σ</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default"/>
          <w:lang w:val="en-US" w:eastAsia="zh-CN"/>
        </w:rPr>
        <w:t>，检测阈值为</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（取临床常用阈值</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=0.03</m:t>
        </m:r>
      </m:oMath>
      <w:r>
        <w:rPr>
          <w:rFonts w:hint="default"/>
          <w:lang w:val="en-US" w:eastAsia="zh-CN"/>
        </w:rPr>
        <w:t>，则：</w:t>
      </w:r>
    </w:p>
    <w:p w14:paraId="76056EE8">
      <w:pPr>
        <w:numPr>
          <w:ilvl w:val="0"/>
          <w:numId w:val="0"/>
        </w:numPr>
        <w:ind w:leftChars="0" w:firstLine="480" w:firstLineChars="200"/>
        <w:rPr>
          <w:rFonts w:hint="default" w:hAnsi="Cambria Math"/>
          <w:i w:val="0"/>
          <w:sz w:val="24"/>
        </w:rPr>
      </w:pPr>
      <m:oMathPara>
        <m:oMath>
          <m:r>
            <m:rPr/>
            <w:rPr>
              <w:rFonts w:hint="default" w:ascii="Cambria Math" w:hAnsi="Cambria Math"/>
              <w:sz w:val="24"/>
            </w:rPr>
            <m:t>FNR(t)=</m:t>
          </m:r>
          <m:r>
            <m:rPr>
              <m:sty m:val="p"/>
            </m:rPr>
            <w:rPr>
              <w:rFonts w:hint="default" w:ascii="Cambria Math" w:hAnsi="Cambria Math"/>
              <w:sz w:val="24"/>
            </w:rPr>
            <m:t>Φ</m:t>
          </m:r>
          <m:d>
            <m:dPr>
              <m:ctrlPr>
                <w:rPr>
                  <w:rFonts w:hint="default" w:ascii="Cambria Math" w:hAnsi="Cambria Math"/>
                  <w:i/>
                  <w:sz w:val="24"/>
                </w:rPr>
              </m:ctrlPr>
            </m:d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−μt</m:t>
                  </m:r>
                  <m:ctrlPr>
                    <w:rPr>
                      <w:rFonts w:hint="default" w:ascii="Cambria Math" w:hAnsi="Cambria Math"/>
                      <w:sz w:val="24"/>
                    </w:rPr>
                  </m:ctrlPr>
                </m:num>
                <m:den>
                  <m:r>
                    <m:rPr/>
                    <w:rPr>
                      <w:rFonts w:hint="default" w:ascii="Cambria Math" w:hAnsi="Cambria Math"/>
                      <w:sz w:val="24"/>
                    </w:rPr>
                    <m:t>σ</m:t>
                  </m:r>
                  <m:ctrlPr>
                    <w:rPr>
                      <w:rFonts w:hint="default" w:ascii="Cambria Math" w:hAnsi="Cambria Math"/>
                      <w:sz w:val="24"/>
                    </w:rPr>
                  </m:ctrlPr>
                </m:den>
              </m:f>
              <m:ctrlPr>
                <w:rPr>
                  <w:rFonts w:hint="default" w:ascii="Cambria Math" w:hAnsi="Cambria Math"/>
                  <w:i/>
                  <w:sz w:val="24"/>
                </w:rPr>
              </m:ctrlPr>
            </m:e>
          </m:d>
        </m:oMath>
      </m:oMathPara>
    </w:p>
    <w:p w14:paraId="5EA882DD">
      <w:pPr>
        <w:numPr>
          <w:ilvl w:val="0"/>
          <w:numId w:val="0"/>
        </w:numPr>
        <w:ind w:leftChars="0" w:firstLine="480" w:firstLineChars="200"/>
        <w:rPr>
          <w:rFonts w:hint="default"/>
          <w:lang w:val="en-US" w:eastAsia="zh-CN"/>
        </w:rPr>
      </w:pPr>
      <w:r>
        <w:rPr>
          <w:rFonts w:hint="default"/>
          <w:lang w:val="en-US" w:eastAsia="zh-CN"/>
        </w:rPr>
        <w:t>其中</w:t>
      </w:r>
      <m:oMath>
        <m:r>
          <m:rPr>
            <m:sty m:val="p"/>
          </m:rPr>
          <w:rPr>
            <w:rFonts w:hint="default" w:ascii="Cambria Math" w:hAnsi="Cambria Math"/>
            <w:sz w:val="24"/>
          </w:rPr>
          <m:t>Φ</m:t>
        </m:r>
      </m:oMath>
      <w:r>
        <w:rPr>
          <w:rFonts w:hint="default"/>
          <w:lang w:val="en-US" w:eastAsia="zh-CN"/>
        </w:rPr>
        <w:t>为标准正态分布累积函数，</w:t>
      </w:r>
      <m:oMath>
        <m:r>
          <m:rPr/>
          <w:rPr>
            <w:rFonts w:hint="default" w:ascii="Cambria Math" w:hAnsi="Cambria Math"/>
            <w:sz w:val="24"/>
          </w:rPr>
          <m:t>μt</m:t>
        </m:r>
      </m:oMath>
      <w:r>
        <w:rPr>
          <w:rFonts w:hint="default"/>
          <w:lang w:val="en-US" w:eastAsia="zh-CN"/>
        </w:rPr>
        <w:t>为t时 Y 染色体浓度均值（附件数据拟合得</w:t>
      </w:r>
      <m:oMath>
        <m:r>
          <m:rPr/>
          <w:rPr>
            <w:rFonts w:hint="default" w:ascii="Cambria Math" w:hAnsi="Cambria Math"/>
            <w:sz w:val="24"/>
          </w:rPr>
          <m:t>μ(t)=0.002t+0.006 </m:t>
        </m:r>
      </m:oMath>
      <w:r>
        <w:rPr>
          <w:rFonts w:hint="default"/>
          <w:lang w:val="en-US" w:eastAsia="zh-CN"/>
        </w:rPr>
        <w:t>，如</w:t>
      </w:r>
      <m:oMath>
        <m:r>
          <m:rPr/>
          <w:rPr>
            <w:rFonts w:hint="default" w:ascii="Cambria Math" w:hAnsi="Cambria Math"/>
            <w:sz w:val="24"/>
          </w:rPr>
          <m:t>t=16</m:t>
        </m:r>
      </m:oMath>
      <w:r>
        <w:rPr>
          <w:rFonts w:hint="default"/>
          <w:lang w:val="en-US" w:eastAsia="zh-CN"/>
        </w:rPr>
        <w:t>时</w:t>
      </w:r>
      <m:oMath>
        <m:r>
          <m:rPr/>
          <w:rPr>
            <w:rFonts w:hint="default" w:ascii="Cambria Math" w:hAnsi="Cambria Math"/>
            <w:sz w:val="24"/>
          </w:rPr>
          <m:t>μ</m:t>
        </m:r>
      </m:oMath>
      <w:r>
        <m:rPr/>
        <w:rPr>
          <w:rFonts w:hint="eastAsia" w:hAnsi="Cambria Math"/>
          <w:i w:val="0"/>
          <w:sz w:val="24"/>
          <w:lang w:val="en-US" w:eastAsia="zh-CN"/>
        </w:rPr>
        <w:t>=</w:t>
      </w:r>
      <w:r>
        <w:rPr>
          <w:rFonts w:hint="default"/>
          <w:lang w:val="en-US" w:eastAsia="zh-CN"/>
        </w:rPr>
        <w:t>0.038。</w:t>
      </w:r>
    </w:p>
    <w:p w14:paraId="5DF6401C">
      <w:pPr>
        <w:numPr>
          <w:ilvl w:val="0"/>
          <w:numId w:val="0"/>
        </w:numPr>
        <w:ind w:leftChars="0" w:firstLine="480" w:firstLineChars="200"/>
        <w:rPr>
          <w:rFonts w:hint="default"/>
          <w:lang w:val="en-US" w:eastAsia="zh-CN"/>
        </w:rPr>
      </w:pPr>
      <w:r>
        <w:rPr>
          <w:rFonts w:hint="default"/>
          <w:lang w:val="en-US" w:eastAsia="zh-CN"/>
        </w:rPr>
        <w:t>以 “综合评价指标最小化” 为目标，兼顾风险、达标率、假阴性率的权重差异（风险对母婴安全最重要，权重最高），定义目标函数：</w:t>
      </w:r>
    </w:p>
    <w:p w14:paraId="6F9CB9EB">
      <w:pPr>
        <w:numPr>
          <w:ilvl w:val="0"/>
          <w:numId w:val="0"/>
        </w:numPr>
        <w:ind w:leftChars="0" w:firstLine="480" w:firstLineChars="200"/>
        <m:rPr/>
        <w:rPr>
          <w:rFonts w:hint="default" w:hAnsi="Cambria Math"/>
          <w:i w:val="0"/>
        </w:rPr>
      </w:pPr>
      <m:oMathPara>
        <m:oMath>
          <m:func>
            <m:funcPr>
              <m:ctrlPr>
                <w:rPr>
                  <w:rFonts w:hint="default" w:ascii="Cambria Math" w:hAnsi="Cambria Math"/>
                </w:rPr>
              </m:ctrlPr>
            </m:funcPr>
            <m:fName>
              <m:r>
                <m:rPr>
                  <m:sty m:val="p"/>
                </m:rPr>
                <w:rPr>
                  <w:rFonts w:hint="default" w:ascii="Cambria Math" w:hAnsi="Cambria Math"/>
                </w:rPr>
                <m:t>min</m:t>
              </m:r>
              <m:ctrlPr>
                <w:rPr>
                  <w:rFonts w:ascii="Cambria Math" w:hAnsi="Cambria Math"/>
                </w:rPr>
              </m:ctrlPr>
            </m:fName>
            <m:e>
              <m:r>
                <m:rPr/>
                <w:rPr>
                  <w:rFonts w:hint="default" w:ascii="Cambria Math" w:hAnsi="Cambria Math"/>
                </w:rPr>
                <m:t>J</m:t>
              </m:r>
              <m:ctrlPr>
                <w:rPr>
                  <w:rFonts w:ascii="Cambria Math" w:hAnsi="Cambria Math"/>
                </w:rPr>
              </m:ctrlPr>
            </m:e>
          </m:func>
          <m:r>
            <m:rPr/>
            <w:rPr>
              <w:rFonts w:hint="default" w:ascii="Cambria Math" w:hAnsi="Cambria Math"/>
            </w:rPr>
            <m:t>(t)=α⋅E(R,t)+β⋅(1−P(t))+γ⋅FNR(t)</m:t>
          </m:r>
        </m:oMath>
      </m:oMathPara>
    </w:p>
    <w:p w14:paraId="7F083DA0">
      <w:pPr>
        <w:numPr>
          <w:ilvl w:val="0"/>
          <w:numId w:val="0"/>
        </w:numPr>
        <w:ind w:leftChars="0" w:firstLine="480" w:firstLineChars="200"/>
        <w:rPr>
          <w:rFonts w:hint="default"/>
          <w:lang w:val="en-US" w:eastAsia="zh-CN"/>
        </w:rPr>
      </w:pPr>
      <w:r>
        <w:rPr>
          <w:rFonts w:hint="default"/>
          <w:lang w:val="en-US" w:eastAsia="zh-CN"/>
        </w:rPr>
        <w:t>其中权重设定依据临床优先级：</w:t>
      </w:r>
      <m:oMath>
        <m:r>
          <m:rPr/>
          <w:rPr>
            <w:rFonts w:hint="default" w:ascii="Cambria Math" w:hAnsi="Cambria Math"/>
          </w:rPr>
          <m:t>α</m:t>
        </m:r>
      </m:oMath>
      <w:r>
        <w:rPr>
          <w:rFonts w:hint="default"/>
          <w:lang w:val="en-US" w:eastAsia="zh-CN"/>
        </w:rPr>
        <w:t>=0.5（潜在风险权重，优先控制不良妊娠风险）；</w:t>
      </w:r>
      <m:oMath>
        <m:r>
          <m:rPr/>
          <w:rPr>
            <w:rFonts w:hint="default" w:ascii="Cambria Math" w:hAnsi="Cambria Math"/>
          </w:rPr>
          <m:t>β</m:t>
        </m:r>
      </m:oMath>
      <w:r>
        <w:rPr>
          <w:rFonts w:hint="default"/>
          <w:lang w:val="en-US" w:eastAsia="zh-CN"/>
        </w:rPr>
        <w:t>=0.3（达标率权重，1-P (t) 为未达标率，需最小化）；</w:t>
      </w:r>
      <m:oMath>
        <m:r>
          <m:rPr/>
          <w:rPr>
            <w:rFonts w:hint="default" w:ascii="Cambria Math" w:hAnsi="Cambria Math"/>
          </w:rPr>
          <m:t>γ</m:t>
        </m:r>
      </m:oMath>
      <w:r>
        <w:rPr>
          <w:rFonts w:hint="default"/>
          <w:lang w:val="en-US" w:eastAsia="zh-CN"/>
        </w:rPr>
        <w:t>=0.2（假阴性率权重，控制漏诊风险）。</w:t>
      </w:r>
    </w:p>
    <w:p w14:paraId="142B1683">
      <w:pPr>
        <w:numPr>
          <w:ilvl w:val="0"/>
          <w:numId w:val="0"/>
        </w:numPr>
        <w:ind w:leftChars="0" w:firstLine="480" w:firstLineChars="200"/>
        <w:rPr>
          <w:rFonts w:hint="default"/>
          <w:lang w:val="en-US" w:eastAsia="zh-CN"/>
        </w:rPr>
      </w:pPr>
      <w:r>
        <w:rPr>
          <w:rFonts w:hint="default"/>
          <w:lang w:val="en-US" w:eastAsia="zh-CN"/>
        </w:rPr>
        <w:t>优化求解方法采用 “分组遍历 - 约束验证 - 最优选择” 三步法求解，具体流程如下：分组标准：基于附件数据中 BMI 与高龄孕妇（年龄 &gt; 35 岁）比例，将样本分为 4 组（表 1），每组样本量≥100 例，保证统计有效性；遍历求解：对每组以 0.5 周为步长遍历</w:t>
      </w:r>
      <m:oMath>
        <m:r>
          <m:rPr/>
          <w:rPr>
            <w:rFonts w:hint="default" w:ascii="Cambria Math" w:hAnsi="Cambria Math"/>
          </w:rPr>
          <m:t>t∈[12,25]</m:t>
        </m:r>
      </m:oMath>
      <w:r>
        <w:rPr>
          <w:rFonts w:hint="default"/>
          <w:lang w:val="en-US" w:eastAsia="zh-CN"/>
        </w:rPr>
        <w:t>，计算各t对应的E(R,t)、P(t)、FNR(t)，并验证约束条件；最优选择：在满足约束的t中，选择使\(J(t)\)最小的时点作为该组最佳 NIPT 时点</w:t>
      </w:r>
    </w:p>
    <w:p w14:paraId="461C1F8A">
      <w:pPr>
        <w:numPr>
          <w:ilvl w:val="0"/>
          <w:numId w:val="0"/>
        </w:numPr>
        <w:ind w:leftChars="0" w:firstLine="480" w:firstLineChars="200"/>
        <w:rPr>
          <w:rFonts w:hint="default" w:hAnsi="Cambria Math"/>
          <w:i w:val="0"/>
          <w:sz w:val="24"/>
        </w:rPr>
      </w:pPr>
      <w:r>
        <m:rPr/>
        <w:rPr>
          <w:rFonts w:hint="default" w:hAnsi="Cambria Math"/>
          <w:i w:val="0"/>
          <w:lang w:val="en-US" w:eastAsia="zh-CN"/>
        </w:rPr>
        <w:t>结果趋势分析BMI 对最佳时点的影响：BMI 越高，最佳时点越靠后（从 16.5 周到 23.5 周）。原因是高 BMI 孕妇体内脂肪组织分泌的游离 DNA 干扰 cffDNA 检测，需更高孕周（t增大）使</w:t>
      </w:r>
      <m:oMath>
        <m:r>
          <m:rPr>
            <m:sty m:val="p"/>
          </m:rPr>
          <w:rPr>
            <w:rFonts w:ascii="Cambria Math" w:hAnsi="Cambria Math"/>
            <w:lang w:val="en-US"/>
          </w:rPr>
          <m:t>μ</m:t>
        </m:r>
      </m:oMath>
      <w:r>
        <m:rPr/>
        <w:rPr>
          <w:rFonts w:hint="default" w:hAnsi="Cambria Math"/>
          <w:i w:val="0"/>
          <w:lang w:val="en-US" w:eastAsia="zh-CN"/>
        </w:rPr>
        <w:t>升高，才能同时满足</w:t>
      </w:r>
      <m:oMath>
        <m:r>
          <m:rPr/>
          <w:rPr>
            <w:rFonts w:hint="default" w:ascii="Cambria Math" w:hAnsi="Cambria Math"/>
            <w:sz w:val="24"/>
          </w:rPr>
          <m:t>P(t)≥90%</m:t>
        </m:r>
      </m:oMath>
      <w:r>
        <m:rPr/>
        <w:rPr>
          <w:rFonts w:hint="default" w:hAnsi="Cambria Math"/>
          <w:i w:val="0"/>
          <w:lang w:val="en-US" w:eastAsia="zh-CN"/>
        </w:rPr>
        <w:t>与</w:t>
      </w:r>
      <m:oMath>
        <m:r>
          <m:rPr/>
          <w:rPr>
            <w:rFonts w:hint="default" w:ascii="Cambria Math" w:hAnsi="Cambria Math"/>
            <w:sz w:val="24"/>
          </w:rPr>
          <m:t>FNR(t)≤5%</m:t>
        </m:r>
      </m:oMath>
      <w:r>
        <m:rPr/>
        <w:rPr>
          <w:rFonts w:hint="default" w:hAnsi="Cambria Math"/>
          <w:i w:val="0"/>
          <w:lang w:val="en-US" w:eastAsia="zh-CN"/>
        </w:rPr>
        <w:t>。风险与达标率的平衡：低 BMI 组（组别 1）在 16.5 周时，</w:t>
      </w:r>
      <m:oMath>
        <m:r>
          <m:rPr/>
          <w:rPr>
            <w:rFonts w:hint="default" w:ascii="Cambria Math" w:hAnsi="Cambria Math"/>
            <w:sz w:val="24"/>
          </w:rPr>
          <m:t>E(R,t)=0.29</m:t>
        </m:r>
      </m:oMath>
      <w:r>
        <m:rPr/>
        <w:rPr>
          <w:rFonts w:hint="default" w:hAnsi="Cambria Math"/>
          <w:i w:val="0"/>
          <w:lang w:val="en-US" w:eastAsia="zh-CN"/>
        </w:rPr>
        <w:t>（风险较低）且</w:t>
      </w:r>
      <m:oMath>
        <m:r>
          <m:rPr/>
          <w:rPr>
            <w:rFonts w:hint="default" w:ascii="Cambria Math" w:hAnsi="Cambria Math"/>
            <w:sz w:val="24"/>
          </w:rPr>
          <m:t>P(t)=93.1%</m:t>
        </m:r>
      </m:oMath>
      <w:r>
        <m:rPr/>
        <w:rPr>
          <w:rFonts w:hint="default" w:hAnsi="Cambria Math"/>
          <w:i w:val="0"/>
          <w:lang w:val="en-US" w:eastAsia="zh-CN"/>
        </w:rPr>
        <w:t>（达标率高），体现 “早检测 - 低风险 - 高有效” 的协同；高 BMI 组（组别 4）虽风险较高</w:t>
      </w:r>
      <m:oMath>
        <m:r>
          <m:rPr/>
          <w:rPr>
            <w:rFonts w:hint="default" w:ascii="Cambria Math" w:hAnsi="Cambria Math"/>
            <w:sz w:val="24"/>
          </w:rPr>
          <m:t>E(R,t)=0.75</m:t>
        </m:r>
      </m:oMath>
      <w:r>
        <m:rPr/>
        <w:rPr>
          <w:rFonts w:hint="default" w:hAnsi="Cambria Math"/>
          <w:i w:val="0"/>
          <w:lang w:val="en-US" w:eastAsia="zh-CN"/>
        </w:rPr>
        <w:t>，但通过后移时点（23.5 周）将FNR控制在 4.7%，避免漏诊风险。约束条件满足性：所有组的P(t)</w:t>
      </w:r>
      <m:oMath>
        <m:r>
          <m:rPr/>
          <w:rPr>
            <w:rFonts w:hint="default" w:ascii="Cambria Math" w:hAnsi="Cambria Math"/>
            <w:sz w:val="24"/>
          </w:rPr>
          <m:t>≥90%,FNR(t)≤5%</m:t>
        </m:r>
      </m:oMath>
      <w:r>
        <m:rPr/>
        <w:rPr>
          <w:rFonts w:hint="default" w:hAnsi="Cambria Math"/>
          <w:i w:val="0"/>
          <w:lang w:val="en-US" w:eastAsia="zh-CN"/>
        </w:rPr>
        <w:t>，且</w:t>
      </w:r>
      <m:oMath>
        <m:r>
          <m:rPr/>
          <w:rPr>
            <w:rFonts w:hint="default" w:ascii="Cambria Math" w:hAnsi="Cambria Math"/>
            <w:sz w:val="24"/>
          </w:rPr>
          <m:t>t∈[12,25]</m:t>
        </m:r>
      </m:oMath>
    </w:p>
    <w:p w14:paraId="6DC92DA0">
      <w:pPr>
        <w:numPr>
          <w:ilvl w:val="0"/>
          <w:numId w:val="0"/>
        </w:numPr>
        <m:rPr/>
        <w:rPr>
          <w:rFonts w:hint="default" w:hAnsi="Cambria Math"/>
          <w:i w:val="0"/>
          <w:lang w:val="en-US" w:eastAsia="zh-CN"/>
        </w:rPr>
      </w:pPr>
      <w:r>
        <m:rPr/>
        <w:rPr>
          <w:rFonts w:hint="eastAsia" w:hAnsi="Cambria Math"/>
          <w:i w:val="0"/>
          <w:lang w:val="en-US" w:eastAsia="zh-CN"/>
        </w:rPr>
        <w:t>，</w:t>
      </w:r>
      <w:r>
        <m:rPr/>
        <w:rPr>
          <w:rFonts w:hint="default" w:hAnsi="Cambria Math"/>
          <w:i w:val="0"/>
          <w:lang w:val="en-US" w:eastAsia="zh-CN"/>
        </w:rPr>
        <w:t>说明优化结果符合临床技术与安全要求，可直接指导实践。</w:t>
      </w:r>
    </w:p>
    <w:p w14:paraId="412B463E">
      <w:pPr>
        <w:numPr>
          <w:ilvl w:val="0"/>
          <w:numId w:val="6"/>
        </w:numPr>
        <w:ind w:left="0" w:leftChars="0" w:firstLine="480" w:firstLineChars="200"/>
        <m:rPr/>
        <w:rPr>
          <w:rFonts w:hint="eastAsia" w:hAnsi="Cambria Math"/>
          <w:i w:val="0"/>
          <w:sz w:val="24"/>
          <w:lang w:val="en-US" w:eastAsia="zh-CN"/>
        </w:rPr>
      </w:pPr>
      <w:r>
        <m:rPr/>
        <w:rPr>
          <w:rFonts w:hint="eastAsia" w:hAnsi="Cambria Math"/>
          <w:i w:val="0"/>
          <w:sz w:val="24"/>
          <w:lang w:val="en-US" w:eastAsia="zh-CN"/>
        </w:rPr>
        <w:t>误差分析</w:t>
      </w:r>
    </w:p>
    <w:p w14:paraId="25026643">
      <w:pPr>
        <w:numPr>
          <w:numId w:val="0"/>
        </w:numPr>
        <w:ind w:firstLine="480" w:firstLineChars="200"/>
        <m:rPr/>
        <w:rPr>
          <w:rFonts w:hint="default" w:hAnsi="Cambria Math"/>
          <w:i w:val="0"/>
          <w:sz w:val="24"/>
          <w:lang w:val="en-US" w:eastAsia="zh-CN"/>
        </w:rPr>
      </w:pPr>
      <w:r>
        <m:rPr/>
        <w:rPr>
          <w:rFonts w:hint="default" w:hAnsi="Cambria Math"/>
          <w:i w:val="0"/>
          <w:sz w:val="24"/>
          <w:lang w:val="en-US" w:eastAsia="zh-CN"/>
        </w:rPr>
        <w:t>以 3.5 中 4 组样本为研究对象，采用蒙特卡洛模拟（每组模拟 1000 次），分别在低、中、高误差水平下，重复 3.4 的优化求解流程，记录最佳时点的变化趋势，分析误差与最佳时点的关联性。4.2.2 模拟控制变量为孤立误差的影响，固定其他参数：孕妇年龄 &gt; 35 岁比例各组保持不变（如组别 1 为 27%）；cffDNA 信号均值</w:t>
      </w:r>
      <m:oMath>
        <m:r>
          <m:rPr/>
          <w:rPr>
            <w:rFonts w:hint="default" w:ascii="Cambria Math" w:hAnsi="Cambria Math"/>
            <w:sz w:val="24"/>
          </w:rPr>
          <m:t>μ</m:t>
        </m:r>
      </m:oMath>
      <w:r>
        <m:rPr/>
        <w:rPr>
          <w:rFonts w:hint="default" w:hAnsi="Cambria Math"/>
          <w:i w:val="0"/>
          <w:sz w:val="24"/>
          <w:lang w:val="en-US" w:eastAsia="zh-CN"/>
        </w:rPr>
        <w:t>(t)拟合公式不变</w:t>
      </w:r>
      <m:oMath>
        <m:r>
          <m:rPr/>
          <w:rPr>
            <w:rFonts w:hint="default" w:ascii="Cambria Math" w:hAnsi="Cambria Math"/>
            <w:sz w:val="24"/>
          </w:rPr>
          <m:t>μ</m:t>
        </m:r>
      </m:oMath>
      <w:r>
        <m:rPr/>
        <w:rPr>
          <w:rFonts w:hint="default" w:hAnsi="Cambria Math"/>
          <w:i w:val="0"/>
          <w:sz w:val="24"/>
          <w:lang w:val="en-US" w:eastAsia="zh-CN"/>
        </w:rPr>
        <w:t>(t)=0.002t+0.006；目标函数权重与约束条件不变。</w:t>
      </w:r>
    </w:p>
    <w:p w14:paraId="21C64B76">
      <w:pPr>
        <w:numPr>
          <w:ilvl w:val="0"/>
          <w:numId w:val="0"/>
        </w:numPr>
        <w:ind w:firstLine="480" w:firstLineChars="200"/>
        <m:rPr/>
        <w:rPr>
          <w:rFonts w:hint="default" w:hAnsi="Cambria Math"/>
          <w:i w:val="0"/>
          <w:sz w:val="24"/>
          <w:lang w:val="en-US" w:eastAsia="zh-CN"/>
        </w:rPr>
      </w:pPr>
      <w:r>
        <m:rPr/>
        <w:rPr>
          <w:rFonts w:hint="default" w:hAnsi="Cambria Math"/>
          <w:i w:val="0"/>
          <w:sz w:val="24"/>
          <w:lang w:val="en-US" w:eastAsia="zh-CN"/>
        </w:rPr>
        <w:t>差越大，最佳时点越后移：各组在高误差下的最佳时点较中误差后移 0.5~1 周，较低误差后移 1~1.5 周（表 3）。原因是</w:t>
      </w:r>
      <m:oMath>
        <m:r>
          <m:rPr>
            <m:sty m:val="p"/>
          </m:rPr>
          <w:rPr>
            <w:rFonts w:ascii="Cambria Math" w:hAnsi="Cambria Math"/>
            <w:sz w:val="24"/>
            <w:lang w:val="en-US"/>
          </w:rPr>
          <m:t>σ</m:t>
        </m:r>
      </m:oMath>
      <w:r>
        <m:rPr/>
        <w:rPr>
          <w:rFonts w:hint="default" w:hAnsi="Cambria Math"/>
          <w:i w:val="0"/>
          <w:sz w:val="24"/>
          <w:lang w:val="en-US" w:eastAsia="zh-CN"/>
        </w:rPr>
        <w:t>增大导致\(FNR(t)\)升高，需通过后移t提高</w:t>
      </w:r>
      <m:oMath>
        <m:r>
          <m:rPr>
            <m:sty m:val="p"/>
          </m:rPr>
          <w:rPr>
            <w:rFonts w:ascii="Cambria Math" w:hAnsi="Cambria Math"/>
            <w:sz w:val="24"/>
            <w:lang w:val="en-US"/>
          </w:rPr>
          <m:t>μ</m:t>
        </m:r>
      </m:oMath>
      <w:r>
        <m:rPr/>
        <w:rPr>
          <w:rFonts w:hint="default" w:hAnsi="Cambria Math"/>
          <w:i w:val="0"/>
          <w:sz w:val="24"/>
          <w:lang w:val="en-US" w:eastAsia="zh-CN"/>
        </w:rPr>
        <w:t>，以满足</w:t>
      </w:r>
      <m:oMath>
        <m:r>
          <m:rPr/>
          <w:rPr>
            <w:rFonts w:hint="default" w:ascii="Cambria Math" w:hAnsi="Cambria Math"/>
            <w:sz w:val="24"/>
          </w:rPr>
          <m:t>FNR(t)≤5%</m:t>
        </m:r>
      </m:oMath>
      <w:r>
        <m:rPr/>
        <w:rPr>
          <w:rFonts w:hint="default" w:hAnsi="Cambria Math"/>
          <w:i w:val="0"/>
          <w:sz w:val="24"/>
          <w:lang w:val="en-US" w:eastAsia="zh-CN"/>
        </w:rPr>
        <w:t>的约束；高 BMI 组对误差更敏感：组别 4（BMI≥40）在高误差下最佳时点较中误差后移 1 周（23.5→24.5 周），而组别 1 仅后移 0.5 周（16→16.5 周）。因高 BMI 组</w:t>
      </w:r>
      <m:oMath>
        <m:r>
          <m:rPr>
            <m:sty m:val="p"/>
          </m:rPr>
          <w:rPr>
            <w:rFonts w:ascii="Cambria Math" w:hAnsi="Cambria Math"/>
            <w:sz w:val="24"/>
            <w:lang w:val="en-US"/>
          </w:rPr>
          <m:t>μ</m:t>
        </m:r>
      </m:oMath>
      <w:r>
        <m:rPr/>
        <w:rPr>
          <w:rFonts w:hint="default" w:hAnsi="Cambria Math"/>
          <w:i w:val="0"/>
          <w:sz w:val="24"/>
          <w:lang w:val="en-US" w:eastAsia="zh-CN"/>
        </w:rPr>
        <w:t>增长较慢</w:t>
      </w:r>
      <m:oMath>
        <m:r>
          <m:rPr>
            <m:sty m:val="p"/>
          </m:rPr>
          <w:rPr>
            <w:rFonts w:ascii="Cambria Math" w:hAnsi="Cambria Math"/>
            <w:sz w:val="24"/>
            <w:lang w:val="en-US"/>
          </w:rPr>
          <m:t>μ</m:t>
        </m:r>
      </m:oMath>
      <w:r>
        <m:rPr/>
        <w:rPr>
          <w:rFonts w:hint="default" w:hAnsi="Cambria Math"/>
          <w:i w:val="0"/>
          <w:sz w:val="24"/>
          <w:lang w:val="en-US" w:eastAsia="zh-CN"/>
        </w:rPr>
        <w:t>(t)=0.0015t+0.005，需更大t增量才能抵消</w:t>
      </w:r>
      <m:oMath>
        <m:r>
          <m:rPr>
            <m:sty m:val="p"/>
          </m:rPr>
          <w:rPr>
            <w:rFonts w:ascii="Cambria Math" w:hAnsi="Cambria Math"/>
            <w:sz w:val="24"/>
            <w:lang w:val="en-US"/>
          </w:rPr>
          <m:t>σ</m:t>
        </m:r>
      </m:oMath>
      <w:r>
        <m:rPr/>
        <w:rPr>
          <w:rFonts w:hint="default" w:hAnsi="Cambria Math"/>
          <w:i w:val="0"/>
          <w:sz w:val="24"/>
          <w:lang w:val="en-US" w:eastAsia="zh-CN"/>
        </w:rPr>
        <w:t>增大的影响；测序质量误差</w:t>
      </w:r>
      <m:oMath>
        <m:r>
          <m:rPr>
            <m:sty m:val="p"/>
          </m:rPr>
          <w:rPr>
            <w:rFonts w:ascii="Cambria Math" w:hAnsi="Cambria Math"/>
            <w:sz w:val="24"/>
            <w:lang w:val="en-US"/>
          </w:rPr>
          <m:t>σ</m:t>
        </m:r>
        <m:r>
          <m:rPr>
            <m:sty m:val="p"/>
          </m:rPr>
          <w:rPr>
            <w:rFonts w:hint="default" w:ascii="Cambria Math" w:hAnsi="Cambria Math"/>
            <w:sz w:val="24"/>
            <w:lang w:val="en-US" w:eastAsia="zh-CN"/>
          </w:rPr>
          <m:t>3</m:t>
        </m:r>
      </m:oMath>
      <w:r>
        <m:rPr/>
        <w:rPr>
          <w:rFonts w:hint="default" w:hAnsi="Cambria Math"/>
          <w:i w:val="0"/>
          <w:sz w:val="24"/>
          <w:lang w:val="en-US" w:eastAsia="zh-CN"/>
        </w:rPr>
        <w:t>的主导作用：单独增大</w:t>
      </w:r>
      <m:oMath>
        <m:r>
          <m:rPr>
            <m:sty m:val="p"/>
          </m:rPr>
          <w:rPr>
            <w:rFonts w:ascii="Cambria Math" w:hAnsi="Cambria Math"/>
            <w:sz w:val="24"/>
            <w:lang w:val="en-US"/>
          </w:rPr>
          <m:t>σ</m:t>
        </m:r>
        <m:r>
          <m:rPr>
            <m:sty m:val="p"/>
          </m:rPr>
          <w:rPr>
            <w:rFonts w:hint="default" w:ascii="Cambria Math" w:hAnsi="Cambria Math"/>
            <w:sz w:val="24"/>
            <w:lang w:val="en-US" w:eastAsia="zh-CN"/>
          </w:rPr>
          <m:t>3</m:t>
        </m:r>
      </m:oMath>
      <w:r>
        <m:rPr/>
        <w:rPr>
          <w:rFonts w:hint="default" w:hAnsi="Cambria Math"/>
          <w:i w:val="0"/>
          <w:sz w:val="24"/>
          <w:lang w:val="en-US" w:eastAsia="zh-CN"/>
        </w:rPr>
        <w:t>（从 0.005→0.015），最佳时点后移 0.7 周；而单独增大</w:t>
      </w:r>
      <m:oMath>
        <m:r>
          <m:rPr>
            <m:sty m:val="p"/>
          </m:rPr>
          <w:rPr>
            <w:rFonts w:ascii="Cambria Math" w:hAnsi="Cambria Math"/>
            <w:sz w:val="24"/>
            <w:lang w:val="en-US"/>
          </w:rPr>
          <m:t>σ</m:t>
        </m:r>
        <m:r>
          <m:rPr>
            <m:sty m:val="p"/>
          </m:rPr>
          <w:rPr>
            <w:rFonts w:hint="default" w:ascii="Cambria Math" w:hAnsi="Cambria Math"/>
            <w:sz w:val="24"/>
            <w:lang w:val="en-US" w:eastAsia="zh-CN"/>
          </w:rPr>
          <m:t>1</m:t>
        </m:r>
      </m:oMath>
      <w:r>
        <m:rPr/>
        <w:rPr>
          <w:rFonts w:hint="default" w:hAnsi="Cambria Math"/>
          <w:i w:val="0"/>
          <w:sz w:val="24"/>
          <w:lang w:val="en-US" w:eastAsia="zh-CN"/>
        </w:rPr>
        <w:t>或</w:t>
      </w:r>
      <m:oMath>
        <m:r>
          <m:rPr>
            <m:sty m:val="p"/>
          </m:rPr>
          <w:rPr>
            <w:rFonts w:ascii="Cambria Math" w:hAnsi="Cambria Math"/>
            <w:sz w:val="24"/>
            <w:lang w:val="en-US"/>
          </w:rPr>
          <m:t>σ</m:t>
        </m:r>
        <m:r>
          <m:rPr>
            <m:sty m:val="p"/>
          </m:rPr>
          <w:rPr>
            <w:rFonts w:hint="default" w:ascii="Cambria Math" w:hAnsi="Cambria Math"/>
            <w:sz w:val="24"/>
            <w:lang w:val="en-US" w:eastAsia="zh-CN"/>
          </w:rPr>
          <m:t>2</m:t>
        </m:r>
      </m:oMath>
      <w:r>
        <m:rPr/>
        <w:rPr>
          <w:rFonts w:hint="default" w:hAnsi="Cambria Math"/>
          <w:i w:val="0"/>
          <w:sz w:val="24"/>
          <w:lang w:val="en-US" w:eastAsia="zh-CN"/>
        </w:rPr>
        <w:t>，后移仅 0.3~0.4 周。说明提升测序质量（如保证读段数≥500 万）是减少时点后移的关键。</w:t>
      </w:r>
    </w:p>
    <w:p w14:paraId="4F34C2D0">
      <w:pPr>
        <w:pStyle w:val="3"/>
        <w:keepNext/>
        <w:keepLines/>
        <w:pageBreakBefore w:val="0"/>
        <w:widowControl w:val="0"/>
        <w:numPr>
          <w:ilvl w:val="1"/>
          <w:numId w:val="0"/>
        </w:numPr>
        <w:kinsoku/>
        <w:wordWrap/>
        <w:overflowPunct/>
        <w:topLinePunct w:val="0"/>
        <w:autoSpaceDE/>
        <w:autoSpaceDN/>
        <w:bidi w:val="0"/>
        <w:adjustRightInd/>
        <w:snapToGrid/>
        <w:spacing w:before="156" w:after="156"/>
        <w:ind w:left="240" w:leftChars="0"/>
        <w:textAlignment w:val="auto"/>
        <w:outlineLvl w:val="1"/>
        <w:rPr>
          <w:rFonts w:hint="eastAsia"/>
        </w:rPr>
      </w:pPr>
      <w:r>
        <w:rPr>
          <w:rFonts w:hint="eastAsia"/>
          <w:lang w:val="en-US" w:eastAsia="zh-CN"/>
        </w:rPr>
        <w:t>5.4</w:t>
      </w:r>
      <w:r>
        <w:rPr>
          <w:rFonts w:hint="eastAsia"/>
        </w:rPr>
        <w:t>问题</w:t>
      </w:r>
      <w:r>
        <w:rPr>
          <w:rFonts w:hint="eastAsia"/>
          <w:lang w:val="en-US" w:eastAsia="zh-CN"/>
        </w:rPr>
        <w:t>四</w:t>
      </w:r>
      <w:r>
        <w:rPr>
          <w:rFonts w:hint="eastAsia"/>
        </w:rPr>
        <w:t>型的建立与求解</w:t>
      </w:r>
    </w:p>
    <w:p w14:paraId="048041A0">
      <w:pPr>
        <w:ind w:left="0" w:leftChars="0" w:firstLine="0" w:firstLineChars="0"/>
        <w:rPr>
          <w:rFonts w:hint="eastAsia" w:eastAsia="宋体"/>
          <w:lang w:val="en-US" w:eastAsia="zh-CN"/>
        </w:rPr>
      </w:pPr>
      <w:r>
        <w:rPr>
          <w:rFonts w:hint="eastAsia"/>
          <w:lang w:val="en-US" w:eastAsia="zh-CN"/>
        </w:rPr>
        <w:t>（1）</w:t>
      </w:r>
      <w:r>
        <w:rPr>
          <w:rFonts w:ascii="Segoe UI" w:hAnsi="Segoe UI" w:eastAsia="Segoe UI" w:cs="Segoe UI"/>
          <w:i w:val="0"/>
          <w:iCs w:val="0"/>
          <w:caps w:val="0"/>
          <w:spacing w:val="0"/>
          <w:sz w:val="24"/>
          <w:szCs w:val="24"/>
          <w:shd w:val="clear" w:fill="F9FAFB"/>
        </w:rPr>
        <w:t>特征变换与选择</w:t>
      </w:r>
    </w:p>
    <w:p w14:paraId="1BEB3ABA">
      <w:pPr>
        <w:numPr>
          <w:ilvl w:val="0"/>
          <w:numId w:val="0"/>
        </w:numPr>
        <w:ind w:firstLine="480" w:firstLineChars="200"/>
        <m:rPr/>
        <w:rPr>
          <w:rFonts w:hint="default" w:hAnsi="Cambria Math"/>
          <w:i w:val="0"/>
          <w:sz w:val="24"/>
          <w:lang w:val="en-US" w:eastAsia="zh-CN"/>
        </w:rPr>
      </w:pPr>
      <w:r>
        <m:rPr/>
        <w:rPr>
          <w:rFonts w:hint="default" w:hAnsi="Cambria Math"/>
          <w:i w:val="0"/>
          <w:sz w:val="24"/>
          <w:lang w:val="en-US" w:eastAsia="zh-CN"/>
        </w:rPr>
        <w:t>Z 值标准化处理：对 13/18/21/X 号染色体的 Z 值绝对值，采用 “正常样本基准” 标准化：</w:t>
      </w:r>
    </w:p>
    <w:p w14:paraId="4FDB27A5">
      <w:pPr>
        <w:numPr>
          <w:ilvl w:val="0"/>
          <w:numId w:val="0"/>
        </w:numPr>
        <w:ind w:leftChars="0" w:firstLine="480" w:firstLineChars="200"/>
        <m:rPr/>
        <w:rPr>
          <w:rFonts w:hint="default" w:hAnsi="Cambria Math"/>
          <w:i w:val="0"/>
          <w:sz w:val="24"/>
          <w:lang w:val="en-US" w:eastAsia="zh-CN"/>
        </w:rPr>
      </w:pPr>
      <w:r>
        <m:rPr/>
        <w:rPr>
          <w:rFonts w:hint="default" w:hAnsi="Cambria Math"/>
          <w:i w:val="0"/>
          <w:sz w:val="24"/>
          <w:lang w:val="en-US" w:eastAsia="zh-CN"/>
        </w:rPr>
        <w:t>设正常样本</w:t>
      </w:r>
      <m:oMath>
        <m:r>
          <m:rPr/>
          <w:rPr>
            <w:rFonts w:hint="default" w:ascii="Cambria Math" w:hAnsi="Cambria Math"/>
            <w:sz w:val="24"/>
          </w:rPr>
          <m:t>(y=0)</m:t>
        </m:r>
      </m:oMath>
      <w:r>
        <m:rPr/>
        <w:rPr>
          <w:rFonts w:hint="default" w:hAnsi="Cambria Math"/>
          <w:i w:val="0"/>
          <w:sz w:val="24"/>
          <w:lang w:val="en-US" w:eastAsia="zh-CN"/>
        </w:rPr>
        <w:t>的 Z 值绝对值均值为</w:t>
      </w:r>
      <m:oMath>
        <m:r>
          <m:rPr/>
          <w:rPr>
            <w:rFonts w:ascii="Cambria Math" w:hAnsi="Cambria Math"/>
            <w:sz w:val="24"/>
            <w:lang w:val="en-US"/>
          </w:rPr>
          <m:t>μ</m:t>
        </m:r>
        <m:r>
          <m:rPr/>
          <w:rPr>
            <w:rFonts w:hint="default" w:ascii="Cambria Math" w:hAnsi="Cambria Math"/>
            <w:sz w:val="24"/>
          </w:rPr>
          <m:t>|Z|</m:t>
        </m:r>
      </m:oMath>
      <w:r>
        <m:rPr/>
        <w:rPr>
          <w:rFonts w:hint="default" w:hAnsi="Cambria Math"/>
          <w:i w:val="0"/>
          <w:sz w:val="24"/>
          <w:lang w:val="en-US" w:eastAsia="zh-CN"/>
        </w:rPr>
        <w:t>、标准差为</w:t>
      </w:r>
      <m:oMath>
        <m:r>
          <m:rPr/>
          <w:rPr>
            <w:rFonts w:hint="default" w:ascii="Cambria Math" w:hAnsi="Cambria Math"/>
            <w:sz w:val="24"/>
          </w:rPr>
          <m:t>σ|Z|</m:t>
        </m:r>
      </m:oMath>
      <w:r>
        <m:rPr/>
        <w:rPr>
          <w:rFonts w:hint="default" w:hAnsi="Cambria Math"/>
          <w:i w:val="0"/>
          <w:sz w:val="24"/>
          <w:lang w:val="en-US" w:eastAsia="zh-CN"/>
        </w:rPr>
        <w:t>，则标准化后的 Z 值为：</w:t>
      </w:r>
    </w:p>
    <w:p w14:paraId="124F455F">
      <w:pPr>
        <w:numPr>
          <w:ilvl w:val="0"/>
          <w:numId w:val="0"/>
        </w:numPr>
        <w:ind w:leftChars="0" w:firstLine="480" w:firstLineChars="200"/>
        <w:rPr>
          <w:rFonts w:hint="default" w:hAnsi="Cambria Math"/>
          <w:i w:val="0"/>
          <w:sz w:val="24"/>
        </w:rPr>
      </w:pPr>
      <m:oMathPara>
        <m:oMath>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|Z|−</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ctrlPr>
                <w:rPr>
                  <w:rFonts w:hint="default" w:ascii="Cambria Math" w:hAnsi="Cambria Math"/>
                  <w:sz w:val="24"/>
                </w:rPr>
              </m:ctrlPr>
            </m:den>
          </m:f>
        </m:oMath>
      </m:oMathPara>
    </w:p>
    <w:p w14:paraId="45DFA0E0">
      <w:pPr>
        <w:numPr>
          <w:ilvl w:val="0"/>
          <w:numId w:val="0"/>
        </w:numPr>
        <w:ind w:firstLine="480" w:firstLineChars="200"/>
        <m:rPr/>
        <w:rPr>
          <w:rFonts w:hint="eastAsia" w:hAnsi="Cambria Math"/>
          <w:i w:val="0"/>
          <w:sz w:val="24"/>
          <w:lang w:val="en-US" w:eastAsia="zh-CN"/>
        </w:rPr>
      </w:pPr>
      <w:r>
        <m:rPr/>
        <w:rPr>
          <w:rFonts w:hint="default" w:hAnsi="Cambria Math"/>
          <w:i w:val="0"/>
          <w:sz w:val="24"/>
          <w:lang w:val="en-US" w:eastAsia="zh-CN"/>
        </w:rPr>
        <w:t>例：若 21 号染色体正常样本</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r>
          <m:rPr/>
          <w:rPr>
            <w:rFonts w:hint="default" w:ascii="Cambria Math" w:hAnsi="Cambria Math"/>
            <w:sz w:val="24"/>
          </w:rPr>
          <m:t>=0.8,</m:t>
        </m:r>
        <m:r>
          <m:rPr>
            <m:sty m:val="p"/>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r>
          <m:rPr/>
          <w:rPr>
            <w:rFonts w:hint="default" w:ascii="Cambria Math" w:hAnsi="Cambria Math"/>
            <w:sz w:val="24"/>
          </w:rPr>
          <m:t>=0.3</m:t>
        </m:r>
      </m:oMath>
      <w:r>
        <m:rPr/>
        <w:rPr>
          <w:rFonts w:hint="default" w:hAnsi="Cambria Math"/>
          <w:i w:val="0"/>
          <w:sz w:val="24"/>
          <w:lang w:val="en-US" w:eastAsia="zh-CN"/>
        </w:rPr>
        <w:t>，某异常样本</w:t>
      </w:r>
      <m:oMath>
        <m:r>
          <m:rPr/>
          <w:rPr>
            <w:rFonts w:hint="default" w:ascii="Cambria Math" w:hAnsi="Cambria Math"/>
            <w:sz w:val="24"/>
          </w:rPr>
          <m:t>|Z|=2.9</m:t>
        </m:r>
      </m:oMath>
      <w:r>
        <m:rPr/>
        <w:rPr>
          <w:rFonts w:hint="default" w:hAnsi="Cambria Math"/>
          <w:i w:val="0"/>
          <w:sz w:val="24"/>
          <w:lang w:val="en-US" w:eastAsia="zh-CN"/>
        </w:rPr>
        <w:t>，则</w:t>
      </w:r>
      <m:oMath>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=(2.9−0.8)/0.3=7</m:t>
        </m:r>
      </m:oMath>
      <w:r>
        <m:rPr/>
        <w:rPr>
          <w:rFonts w:hint="default" w:hAnsi="Cambria Math"/>
          <w:i w:val="0"/>
          <w:sz w:val="24"/>
          <w:lang w:val="en-US" w:eastAsia="zh-CN"/>
        </w:rPr>
        <w:t>，异常信号显著放大。</w:t>
      </w:r>
      <w:r>
        <m:rPr/>
        <w:rPr>
          <w:rFonts w:hint="eastAsia" w:hAnsi="Cambria Math"/>
          <w:i w:val="0"/>
          <w:sz w:val="24"/>
          <w:lang w:val="en-US" w:eastAsia="zh-CN"/>
        </w:rPr>
        <w:t>、</w:t>
      </w:r>
    </w:p>
    <w:p w14:paraId="6E05E7F5">
      <w:pPr>
        <w:numPr>
          <w:ilvl w:val="0"/>
          <w:numId w:val="0"/>
        </w:numPr>
        <w:ind w:firstLine="480" w:firstLineChars="200"/>
        <m:rPr/>
        <w:rPr>
          <w:rFonts w:hint="default" w:hAnsi="Cambria Math"/>
          <w:i w:val="0"/>
          <w:sz w:val="24"/>
          <w:lang w:val="en-US" w:eastAsia="zh-CN"/>
        </w:rPr>
      </w:pPr>
      <w:r>
        <m:rPr/>
        <w:rPr>
          <w:rFonts w:hint="default" w:hAnsi="Cambria Math"/>
          <w:i w:val="0"/>
          <w:sz w:val="24"/>
          <w:lang w:val="en-US" w:eastAsia="zh-CN"/>
        </w:rPr>
        <w:t>BMI 分组编码：将连续的 BMI 转为分类变量（临床常用分组），避免线性假设偏差：</w:t>
      </w:r>
    </w:p>
    <w:p w14:paraId="48AA3F59">
      <w:pPr>
        <w:numPr>
          <w:ilvl w:val="0"/>
          <w:numId w:val="0"/>
        </w:numPr>
        <w:ind w:firstLine="480" w:firstLineChars="200"/>
        <w:rPr>
          <w:rFonts w:hint="default" w:hAnsi="Cambria Math"/>
          <w:i w:val="0"/>
          <w:sz w:val="24"/>
        </w:rPr>
      </w:pPr>
      <m:oMathPara>
        <m:oMath>
          <m:r>
            <m:rPr/>
            <w:rPr>
              <w:rFonts w:hint="default" w:ascii="Cambria Math" w:hAnsi="Cambria Math"/>
              <w:sz w:val="24"/>
            </w:rPr>
            <m:t>BM</m:t>
          </m:r>
          <m:sSup>
            <m:sSupPr>
              <m:ctrlPr>
                <w:rPr>
                  <w:rFonts w:hint="default" w:ascii="Cambria Math" w:hAnsi="Cambria Math"/>
                  <w:sz w:val="24"/>
                </w:rPr>
              </m:ctrlPr>
            </m:sSupPr>
            <m:e>
              <m:r>
                <m:rPr/>
                <w:rPr>
                  <w:rFonts w:hint="default" w:ascii="Cambria Math" w:hAnsi="Cambria Math"/>
                  <w:sz w:val="24"/>
                </w:rPr>
                <m:t>I</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w:rPr>
                        <w:rFonts w:hint="default" w:ascii="Cambria Math" w:hAnsi="Cambria Math"/>
                        <w:sz w:val="24"/>
                      </w:rPr>
                      <m:t>BMI&lt;28</m:t>
                    </m:r>
                    <m:ctrlPr>
                      <w:rPr>
                        <w:rFonts w:ascii="Cambria Math" w:hAnsi="Cambria Math"/>
                        <w:sz w:val="24"/>
                      </w:rPr>
                    </m:ctrlPr>
                  </m:e>
                </m:mr>
                <m:mr>
                  <m:e>
                    <m:r>
                      <m:rPr/>
                      <w:rPr>
                        <w:rFonts w:hint="default" w:ascii="Cambria Math" w:hAnsi="Cambria Math"/>
                        <w:sz w:val="24"/>
                      </w:rPr>
                      <m:t>2</m:t>
                    </m:r>
                    <m:ctrlPr>
                      <w:rPr>
                        <w:rFonts w:ascii="Cambria Math" w:hAnsi="Cambria Math"/>
                        <w:sz w:val="24"/>
                      </w:rPr>
                    </m:ctrlPr>
                  </m:e>
                  <m:e>
                    <m:r>
                      <m:rPr/>
                      <w:rPr>
                        <w:rFonts w:hint="default" w:ascii="Cambria Math" w:hAnsi="Cambria Math"/>
                        <w:sz w:val="24"/>
                      </w:rPr>
                      <m:t>28≤BMI&lt;32</m:t>
                    </m:r>
                    <m:ctrlPr>
                      <w:rPr>
                        <w:rFonts w:ascii="Cambria Math" w:hAnsi="Cambria Math"/>
                        <w:sz w:val="24"/>
                      </w:rPr>
                    </m:ctrlPr>
                  </m:e>
                </m:mr>
                <m:mr>
                  <m:e>
                    <m:r>
                      <m:rPr/>
                      <w:rPr>
                        <w:rFonts w:hint="default" w:ascii="Cambria Math" w:hAnsi="Cambria Math"/>
                        <w:sz w:val="24"/>
                      </w:rPr>
                      <m:t>3</m:t>
                    </m:r>
                    <m:ctrlPr>
                      <w:rPr>
                        <w:rFonts w:ascii="Cambria Math" w:hAnsi="Cambria Math"/>
                        <w:sz w:val="24"/>
                      </w:rPr>
                    </m:ctrlPr>
                  </m:e>
                  <m:e>
                    <m:r>
                      <m:rPr/>
                      <w:rPr>
                        <w:rFonts w:hint="default" w:ascii="Cambria Math" w:hAnsi="Cambria Math"/>
                        <w:sz w:val="24"/>
                      </w:rPr>
                      <m:t>BMI≥32</m:t>
                    </m:r>
                    <m:ctrlPr>
                      <w:rPr>
                        <w:rFonts w:ascii="Cambria Math" w:hAnsi="Cambria Math"/>
                        <w:sz w:val="24"/>
                      </w:rPr>
                    </m:ctrlPr>
                  </m:e>
                </m:mr>
              </m:m>
              <m:ctrlPr>
                <w:rPr>
                  <w:rFonts w:hint="default" w:ascii="Cambria Math" w:hAnsi="Cambria Math"/>
                  <w:i/>
                  <w:sz w:val="24"/>
                </w:rPr>
              </m:ctrlPr>
            </m:e>
          </m:d>
        </m:oMath>
      </m:oMathPara>
    </w:p>
    <w:p w14:paraId="66CF5781">
      <w:pPr>
        <w:numPr>
          <w:ilvl w:val="0"/>
          <w:numId w:val="0"/>
        </w:numPr>
        <w:ind w:firstLine="480" w:firstLineChars="200"/>
        <m:rPr/>
        <w:rPr>
          <w:rFonts w:hint="default" w:hAnsi="Cambria Math"/>
          <w:i w:val="0"/>
          <w:sz w:val="24"/>
          <w:lang w:val="en-US" w:eastAsia="zh-CN"/>
        </w:rPr>
      </w:pPr>
      <w:r>
        <m:rPr/>
        <w:rPr>
          <w:rFonts w:hint="default" w:hAnsi="Cambria Math"/>
          <w:i w:val="0"/>
          <w:sz w:val="24"/>
          <w:lang w:val="en-US" w:eastAsia="zh-CN"/>
        </w:rPr>
        <w:t>采用随机森林特征重要性（基于 100 棵决策树）筛选核心特征，保留前 10 个重要性最高的特征（典型结果如下），剔除与核心特征高度相关（|r|&gt;0.8）的变量（如身高与 BMI 相关，剔除身高）</w:t>
      </w:r>
    </w:p>
    <w:p w14:paraId="3E6FB687">
      <w:pPr>
        <w:numPr>
          <w:ilvl w:val="0"/>
          <w:numId w:val="0"/>
        </w:numPr>
        <w:ind w:firstLine="480" w:firstLineChars="200"/>
        <m:rPr/>
        <w:rPr>
          <w:rFonts w:hint="default" w:hAnsi="Cambria Math"/>
          <w:i w:val="0"/>
          <w:sz w:val="24"/>
          <w:lang w:val="en-US" w:eastAsia="zh-CN"/>
        </w:rPr>
      </w:pPr>
    </w:p>
    <w:p w14:paraId="34AEC8A0">
      <w:pPr>
        <w:numPr>
          <w:ilvl w:val="0"/>
          <w:numId w:val="0"/>
        </w:numPr>
        <m:rPr/>
        <w:rPr>
          <w:rFonts w:hint="default" w:hAnsi="Cambria Math"/>
          <w:i w:val="0"/>
          <w:sz w:val="24"/>
          <w:lang w:val="en-US" w:eastAsia="zh-CN"/>
        </w:rPr>
      </w:pPr>
      <w:r>
        <m:rPr/>
        <w:rPr>
          <w:rFonts w:hint="eastAsia" w:hAnsi="Cambria Math"/>
          <w:i w:val="0"/>
          <w:sz w:val="24"/>
          <w:lang w:val="en-US" w:eastAsia="zh-CN"/>
        </w:rPr>
        <w:t>（2）</w:t>
      </w:r>
      <w:r>
        <m:rPr/>
        <w:rPr>
          <w:rFonts w:hint="default" w:hAnsi="Cambria Math"/>
          <w:i w:val="0"/>
          <w:sz w:val="24"/>
          <w:lang w:val="en-US" w:eastAsia="zh-CN"/>
        </w:rPr>
        <w:t>分类模型构建</w:t>
      </w:r>
    </w:p>
    <w:p w14:paraId="152AADDB">
      <w:pPr>
        <w:numPr>
          <w:ilvl w:val="0"/>
          <w:numId w:val="0"/>
        </w:numPr>
        <w:ind w:firstLine="480" w:firstLineChars="200"/>
        <m:rPr/>
        <w:rPr>
          <w:rFonts w:hint="default" w:hAnsi="Cambria Math"/>
          <w:i w:val="0"/>
          <w:sz w:val="24"/>
          <w:lang w:val="en-US" w:eastAsia="zh-CN"/>
        </w:rPr>
      </w:pPr>
      <w:r>
        <m:rPr/>
        <w:rPr>
          <w:rFonts w:hint="default" w:hAnsi="Cambria Math"/>
          <w:i w:val="0"/>
          <w:sz w:val="24"/>
          <w:lang w:val="en-US" w:eastAsia="zh-CN"/>
        </w:rPr>
        <w:t>医学场景需 “不漏诊（高灵敏度）” 且 “医生可理解（可解释性）”，采用 “逻辑回归（基础可解释模型）+ 随机森林（优化准确率模型）” 双方案：</w:t>
      </w:r>
    </w:p>
    <w:p w14:paraId="792CCC2C">
      <w:pPr>
        <w:numPr>
          <w:ilvl w:val="0"/>
          <w:numId w:val="0"/>
        </w:numPr>
        <w:ind w:firstLine="480" w:firstLineChars="200"/>
        <m:rPr/>
        <w:rPr>
          <w:rFonts w:hint="default" w:hAnsi="Cambria Math"/>
          <w:i w:val="0"/>
          <w:sz w:val="24"/>
          <w:lang w:val="en-US" w:eastAsia="zh-CN"/>
        </w:rPr>
      </w:pPr>
      <w:r>
        <m:rPr/>
        <w:rPr>
          <w:rFonts w:hint="default" w:hAnsi="Cambria Math"/>
          <w:i w:val="0"/>
          <w:sz w:val="24"/>
          <w:lang w:val="en-US" w:eastAsia="zh-CN"/>
        </w:rPr>
        <w:t>设女胎异常概率为</w:t>
      </w:r>
      <m:oMath>
        <m:r>
          <m:rPr/>
          <w:rPr>
            <w:rFonts w:hint="default" w:ascii="Cambria Math" w:hAnsi="Cambria Math"/>
            <w:sz w:val="24"/>
          </w:rPr>
          <m:t>P(y=1|X)</m:t>
        </m:r>
      </m:oMath>
      <w:r>
        <m:rPr/>
        <w:rPr>
          <w:rFonts w:hint="default" w:hAnsi="Cambria Math"/>
          <w:i w:val="0"/>
          <w:sz w:val="24"/>
          <w:lang w:val="en-US" w:eastAsia="zh-CN"/>
        </w:rPr>
        <w:t>，采用对数几率模型（Logit），仅纳入前 6 个核心特征（简化临床解释）：</w:t>
      </w:r>
    </w:p>
    <w:p w14:paraId="37AA9AF6">
      <w:pPr>
        <w:numPr>
          <w:ilvl w:val="0"/>
          <w:numId w:val="0"/>
        </w:numPr>
        <w:ind w:firstLine="480" w:firstLineChars="200"/>
        <m:rPr/>
        <w:rPr>
          <w:rFonts w:hint="default" w:hAnsi="Cambria Math"/>
          <w:i w:val="0"/>
          <w:sz w:val="24"/>
          <w:lang w:val="en-US" w:eastAsia="zh-CN"/>
        </w:rPr>
      </w:pPr>
      <m:oMathPara>
        <m:oMath>
          <m:func>
            <m:funcPr>
              <m:ctrlPr>
                <w:rPr>
                  <w:rFonts w:hint="default" w:ascii="Cambria Math" w:hAnsi="Cambria Math"/>
                  <w:sz w:val="24"/>
                </w:rPr>
              </m:ctrlPr>
            </m:funcPr>
            <m:fName>
              <m:r>
                <m:rPr>
                  <m:sty m:val="p"/>
                </m:rPr>
                <w:rPr>
                  <w:rFonts w:hint="default" w:ascii="Cambria Math" w:hAnsi="Cambria Math"/>
                  <w:sz w:val="24"/>
                </w:rPr>
                <m:t>ln</m:t>
              </m:r>
              <m:ctrlPr>
                <w:rPr>
                  <w:rFonts w:ascii="Cambria Math" w:hAnsi="Cambria Math"/>
                  <w:sz w:val="24"/>
                </w:rPr>
              </m:ctrlPr>
            </m:fName>
            <m:e>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P(y=1|X)</m:t>
                      </m:r>
                      <m:ctrlPr>
                        <w:rPr>
                          <w:rFonts w:ascii="Cambria Math" w:hAnsi="Cambria Math"/>
                          <w:sz w:val="24"/>
                        </w:rPr>
                      </m:ctrlPr>
                    </m:num>
                    <m:den>
                      <m:r>
                        <m:rPr/>
                        <w:rPr>
                          <w:rFonts w:hint="default" w:ascii="Cambria Math" w:hAnsi="Cambria Math"/>
                          <w:sz w:val="24"/>
                        </w:rPr>
                        <m:t>1−P(y=1|X)</m:t>
                      </m:r>
                      <m:ctrlPr>
                        <w:rPr>
                          <w:rFonts w:ascii="Cambria Math" w:hAnsi="Cambria Math"/>
                          <w:sz w:val="24"/>
                        </w:rPr>
                      </m:ctrlPr>
                    </m:den>
                  </m:f>
                  <m:ctrlPr>
                    <w:rPr>
                      <w:rFonts w:hint="default" w:ascii="Cambria Math" w:hAnsi="Cambria Math"/>
                      <w:i/>
                      <w:sz w:val="24"/>
                    </w:rPr>
                  </m:ctrlPr>
                </m:e>
              </m:d>
              <m:ctrlPr>
                <w:rPr>
                  <w:rFonts w:hint="default" w:ascii="Cambria Math" w:hAnsi="Cambria Math"/>
                  <w:i/>
                  <w:sz w:val="24"/>
                </w:rPr>
              </m:ctrlPr>
            </m:e>
          </m:fun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0</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1</m:t>
              </m:r>
              <m:ctrlPr>
                <w:rPr>
                  <w:rFonts w:hint="default" w:ascii="Cambria Math" w:hAnsi="Cambria Math"/>
                  <w:i/>
                  <w:sz w:val="24"/>
                </w:rPr>
              </m:ctrlPr>
            </m:sub>
          </m:sSub>
          <m:sSup>
            <m:sSupPr>
              <m:ctrlPr>
                <w:rPr>
                  <w:rFonts w:hint="default" w:ascii="Cambria Math" w:hAnsi="Cambria Math"/>
                  <w:sz w:val="24"/>
                </w:rPr>
              </m:ctrlPr>
            </m:sSupPr>
            <m:e>
              <m:r>
                <m:rPr/>
                <w:rPr>
                  <w:rFonts w:hint="default" w:ascii="Cambria Math" w:hAnsi="Cambria Math"/>
                  <w:sz w:val="24"/>
                </w:rPr>
                <m:t>S</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2</m:t>
              </m:r>
              <m:ctrlPr>
                <w:rPr>
                  <w:rFonts w:hint="default" w:ascii="Cambria Math" w:hAnsi="Cambria Math"/>
                  <w:i/>
                  <w:sz w:val="24"/>
                </w:rPr>
              </m:ctrlPr>
            </m:sub>
          </m:sSub>
          <m:sSup>
            <m:sSupPr>
              <m:ctrlPr>
                <w:rPr>
                  <w:rFonts w:hint="default" w:ascii="Cambria Math" w:hAnsi="Cambria Math"/>
                  <w:sz w:val="24"/>
                </w:rPr>
              </m:ctrlPr>
            </m:sSupPr>
            <m:e>
              <m:r>
                <m:rPr/>
                <w:rPr>
                  <w:rFonts w:hint="default" w:ascii="Cambria Math" w:hAnsi="Cambria Math"/>
                  <w:sz w:val="24"/>
                </w:rPr>
                <m:t>R</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3</m:t>
              </m:r>
              <m:ctrlPr>
                <w:rPr>
                  <w:rFonts w:hint="default" w:ascii="Cambria Math" w:hAnsi="Cambria Math"/>
                  <w:i/>
                  <w:sz w:val="24"/>
                </w:rPr>
              </m:ctrlPr>
            </m:sub>
          </m:sSub>
          <m:sSup>
            <m:sSupPr>
              <m:ctrlPr>
                <w:rPr>
                  <w:rFonts w:hint="default" w:ascii="Cambria Math" w:hAnsi="Cambria Math"/>
                  <w:sz w:val="24"/>
                </w:rPr>
              </m:ctrlPr>
            </m:sSupPr>
            <m:e>
              <m:r>
                <m:rPr/>
                <w:rPr>
                  <w:rFonts w:hint="default" w:ascii="Cambria Math" w:hAnsi="Cambria Math"/>
                  <w:sz w:val="24"/>
                </w:rPr>
                <m:t>Q</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4</m:t>
              </m:r>
              <m:ctrlPr>
                <w:rPr>
                  <w:rFonts w:hint="default" w:ascii="Cambria Math" w:hAnsi="Cambria Math"/>
                  <w:i/>
                  <w:sz w:val="24"/>
                </w:rPr>
              </m:ctrlPr>
            </m:sub>
          </m:sSub>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i/>
                  <w:sz w:val="24"/>
                </w:rPr>
              </m:ctrlPr>
            </m:e>
            <m:sub>
              <m:r>
                <m:rPr/>
                <w:rPr>
                  <w:rFonts w:hint="default" w:ascii="Cambria Math" w:hAnsi="Cambria Math"/>
                  <w:sz w:val="24"/>
                </w:rPr>
                <m:t>seq</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5</m:t>
              </m:r>
              <m:ctrlPr>
                <w:rPr>
                  <w:rFonts w:hint="default" w:ascii="Cambria Math" w:hAnsi="Cambria Math"/>
                  <w:i/>
                  <w:sz w:val="24"/>
                </w:rPr>
              </m:ctrlPr>
            </m:sub>
          </m:sSub>
          <m:r>
            <m:rPr/>
            <w:rPr>
              <w:rFonts w:hint="default" w:ascii="Cambria Math" w:hAnsi="Cambria Math"/>
              <w:sz w:val="24"/>
            </w:rPr>
            <m:t>BM</m:t>
          </m:r>
          <m:sSup>
            <m:sSupPr>
              <m:ctrlPr>
                <w:rPr>
                  <w:rFonts w:hint="default" w:ascii="Cambria Math" w:hAnsi="Cambria Math"/>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6</m:t>
              </m:r>
              <m:ctrlPr>
                <w:rPr>
                  <w:rFonts w:hint="default" w:ascii="Cambria Math" w:hAnsi="Cambria Math"/>
                  <w:i/>
                  <w:sz w:val="24"/>
                </w:rPr>
              </m:ctrlPr>
            </m:sub>
          </m:sSub>
          <m:sSup>
            <m:sSupPr>
              <m:ctrlPr>
                <w:rPr>
                  <w:rFonts w:hint="default" w:ascii="Cambria Math" w:hAnsi="Cambria Math"/>
                  <w:sz w:val="24"/>
                </w:rPr>
              </m:ctrlPr>
            </m:sSupPr>
            <m:e>
              <m:r>
                <m:rPr/>
                <w:rPr>
                  <w:rFonts w:hint="default" w:ascii="Cambria Math" w:hAnsi="Cambria Math"/>
                  <w:sz w:val="24"/>
                </w:rPr>
                <m:t>T</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oMath>
      </m:oMathPara>
    </w:p>
    <w:p w14:paraId="6D83E8E6">
      <w:pPr>
        <w:numPr>
          <w:ilvl w:val="0"/>
          <w:numId w:val="0"/>
        </w:numPr>
        <w:ind w:firstLine="480" w:firstLineChars="200"/>
        <m:rPr/>
        <w:rPr>
          <w:rFonts w:hint="default" w:hAnsi="Cambria Math"/>
          <w:i w:val="0"/>
          <w:sz w:val="24"/>
          <w:lang w:val="en-US" w:eastAsia="zh-CN"/>
        </w:rPr>
      </w:pPr>
      <w:r>
        <m:rPr/>
        <w:rPr>
          <w:rFonts w:hint="default" w:hAnsi="Cambria Math"/>
          <w:i w:val="0"/>
          <w:sz w:val="24"/>
          <w:lang w:val="en-US" w:eastAsia="zh-CN"/>
        </w:rPr>
        <w:t>其中：</w:t>
      </w:r>
      <m:oMath>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lang w:val="en-US" w:eastAsia="zh-CN"/>
              </w:rPr>
              <m:t>i</m:t>
            </m:r>
            <m:ctrlPr>
              <w:rPr>
                <w:rFonts w:hint="default" w:ascii="Cambria Math" w:hAnsi="Cambria Math"/>
                <w:i/>
                <w:sz w:val="24"/>
              </w:rPr>
            </m:ctrlPr>
          </m:sub>
        </m:sSub>
      </m:oMath>
      <w:r>
        <m:rPr/>
        <w:rPr>
          <w:rFonts w:hint="default" w:hAnsi="Cambria Math"/>
          <w:i w:val="0"/>
          <w:sz w:val="24"/>
          <w:lang w:val="en-US" w:eastAsia="zh-CN"/>
        </w:rPr>
        <w:t>为特征权重（通过最大似然估计求解，正值表示该特征增加异常概率，负值表示降低异常概率）；典型权重结果（基于附件数据拟合）：</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=−2.5</m:t>
        </m:r>
      </m:oMath>
      <w:r>
        <m:rPr/>
        <w:rPr>
          <w:rFonts w:hint="default" w:hAnsi="Cambria Math"/>
          <w:i w:val="0"/>
          <w:sz w:val="24"/>
          <w:lang w:val="en-US" w:eastAsia="zh-CN"/>
        </w:rPr>
        <w:t>（基准概率偏移），</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=3.2</m:t>
        </m:r>
      </m:oMath>
      <w:r>
        <m:rPr/>
        <w:rPr>
          <w:rFonts w:hint="default" w:hAnsi="Cambria Math"/>
          <w:i w:val="0"/>
          <w:sz w:val="24"/>
          <w:lang w:val="en-US" w:eastAsia="zh-CN"/>
        </w:rPr>
        <w:t>（21 号 Z' 影响最大），</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=2.7 (18</m:t>
        </m:r>
        <m:r>
          <m:rPr>
            <m:sty m:val="p"/>
          </m:rPr>
          <w:rPr>
            <w:rFonts w:hint="default" w:ascii="Cambria Math" w:hAnsi="Cambria Math"/>
            <w:sz w:val="24"/>
          </w:rPr>
          <m:t>号</m:t>
        </m:r>
        <m:r>
          <m:rPr/>
          <w:rPr>
            <w:rFonts w:hint="default" w:ascii="Cambria Math" w:hAnsi="Cambria Math"/>
            <w:sz w:val="24"/>
          </w:rPr>
          <m:t>Z) , </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=2.3 (13</m:t>
        </m:r>
        <m:r>
          <m:rPr>
            <m:sty m:val="p"/>
          </m:rPr>
          <w:rPr>
            <w:rFonts w:hint="default" w:ascii="Cambria Math" w:hAnsi="Cambria Math"/>
            <w:sz w:val="24"/>
          </w:rPr>
          <m:t>号</m:t>
        </m:r>
        <m:r>
          <m:rPr/>
          <w:rPr>
            <w:rFonts w:hint="default" w:ascii="Cambria Math" w:hAnsi="Cambria Math"/>
            <w:sz w:val="24"/>
          </w:rPr>
          <m:t>Z) , </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=−1.8</m:t>
        </m:r>
      </m:oMath>
      <w:r>
        <m:rPr/>
        <w:rPr>
          <w:rFonts w:hint="default" w:hAnsi="Cambria Math"/>
          <w:i w:val="0"/>
          <w:sz w:val="24"/>
          <w:lang w:val="en-US" w:eastAsia="zh-CN"/>
        </w:rPr>
        <w:t>（质量评分越高，异常概率越低），</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=0.9</m:t>
        </m:r>
      </m:oMath>
      <w:r>
        <m:rPr/>
        <w:rPr>
          <w:rFonts w:hint="default" w:hAnsi="Cambria Math"/>
          <w:i w:val="0"/>
          <w:sz w:val="24"/>
          <w:lang w:val="en-US" w:eastAsia="zh-CN"/>
        </w:rPr>
        <w:t>（BMI 越高，异常概率越高），</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6</m:t>
            </m:r>
            <m:ctrlPr>
              <w:rPr>
                <w:rFonts w:ascii="Cambria Math" w:hAnsi="Cambria Math"/>
                <w:sz w:val="24"/>
              </w:rPr>
            </m:ctrlPr>
          </m:sub>
        </m:sSub>
        <m:r>
          <m:rPr/>
          <w:rPr>
            <w:rFonts w:hint="default" w:ascii="Cambria Math" w:hAnsi="Cambria Math"/>
            <w:sz w:val="24"/>
          </w:rPr>
          <m:t>=0.6</m:t>
        </m:r>
      </m:oMath>
      <w:r>
        <m:rPr/>
        <w:rPr>
          <w:rFonts w:hint="default" w:hAnsi="Cambria Math"/>
          <w:i w:val="0"/>
          <w:sz w:val="24"/>
          <w:lang w:val="en-US" w:eastAsia="zh-CN"/>
        </w:rPr>
        <w:t>（X 号 Z' 越大，异常概率越高）。</w:t>
      </w:r>
    </w:p>
    <w:p w14:paraId="1DA04072">
      <w:pPr>
        <w:numPr>
          <w:ilvl w:val="0"/>
          <w:numId w:val="0"/>
        </w:numPr>
        <w:ind w:firstLine="480" w:firstLineChars="200"/>
        <w:rPr>
          <w:rFonts w:hint="default" w:hAnsi="Cambria Math"/>
          <w:i w:val="0"/>
          <w:sz w:val="24"/>
        </w:rPr>
      </w:pPr>
      <w:r>
        <m:rPr/>
        <w:rPr>
          <w:rFonts w:hint="default" w:hAnsi="Cambria Math"/>
          <w:i w:val="0"/>
          <w:sz w:val="24"/>
          <w:lang w:val="en-US" w:eastAsia="zh-CN"/>
        </w:rPr>
        <w:t>计算不同阈值下的灵敏度</w:t>
      </w:r>
      <m:oMath>
        <m:r>
          <m:rPr/>
          <w:rPr>
            <w:rFonts w:hint="default" w:ascii="Cambria Math" w:hAnsi="Cambria Math"/>
            <w:sz w:val="24"/>
          </w:rPr>
          <m:t>(Sens=</m:t>
        </m:r>
        <m:f>
          <m:fPr>
            <m:ctrlPr>
              <w:rPr>
                <w:rFonts w:hint="default" w:ascii="Cambria Math" w:hAnsi="Cambria Math"/>
                <w:i/>
                <w:sz w:val="24"/>
              </w:rPr>
            </m:ctrlPr>
          </m:fPr>
          <m:num>
            <m:r>
              <m:rPr/>
              <w:rPr>
                <w:rFonts w:hint="default" w:ascii="Cambria Math" w:hAnsi="Cambria Math"/>
                <w:sz w:val="24"/>
              </w:rPr>
              <m:t>TP</m:t>
            </m:r>
            <m:ctrlPr>
              <w:rPr>
                <w:rFonts w:ascii="Cambria Math" w:hAnsi="Cambria Math"/>
                <w:sz w:val="24"/>
              </w:rPr>
            </m:ctrlPr>
          </m:num>
          <m:den>
            <m:r>
              <m:rPr/>
              <w:rPr>
                <w:rFonts w:hint="default" w:ascii="Cambria Math" w:hAnsi="Cambria Math"/>
                <w:sz w:val="24"/>
              </w:rPr>
              <m:t>TP+FN</m:t>
            </m:r>
            <m:ctrlPr>
              <w:rPr>
                <w:rFonts w:ascii="Cambria Math" w:hAnsi="Cambria Math"/>
                <w:sz w:val="24"/>
              </w:rPr>
            </m:ctrlPr>
          </m:den>
        </m:f>
        <m:r>
          <m:rPr/>
          <w:rPr>
            <w:rFonts w:hint="default" w:ascii="Cambria Math" w:hAnsi="Cambria Math"/>
            <w:sz w:val="24"/>
          </w:rPr>
          <m:t>)</m:t>
        </m:r>
      </m:oMath>
      <w:r>
        <m:rPr/>
        <w:rPr>
          <w:rFonts w:hint="default" w:hAnsi="Cambria Math"/>
          <w:i w:val="0"/>
          <w:sz w:val="24"/>
          <w:lang w:val="en-US" w:eastAsia="zh-CN"/>
        </w:rPr>
        <w:t>和特异度</w:t>
      </w:r>
      <m:oMath>
        <m:r>
          <m:rPr/>
          <w:rPr>
            <w:rFonts w:hint="default" w:ascii="Cambria Math" w:hAnsi="Cambria Math"/>
            <w:sz w:val="24"/>
          </w:rPr>
          <m:t>(Spec=</m:t>
        </m:r>
        <m:f>
          <m:fPr>
            <m:ctrlPr>
              <w:rPr>
                <w:rFonts w:hint="default" w:ascii="Cambria Math" w:hAnsi="Cambria Math"/>
                <w:i/>
                <w:sz w:val="24"/>
              </w:rPr>
            </m:ctrlPr>
          </m:fPr>
          <m:num>
            <m:r>
              <m:rPr/>
              <w:rPr>
                <w:rFonts w:hint="default" w:ascii="Cambria Math" w:hAnsi="Cambria Math"/>
                <w:sz w:val="24"/>
              </w:rPr>
              <m:t>TN</m:t>
            </m:r>
            <m:ctrlPr>
              <w:rPr>
                <w:rFonts w:ascii="Cambria Math" w:hAnsi="Cambria Math"/>
                <w:sz w:val="24"/>
              </w:rPr>
            </m:ctrlPr>
          </m:num>
          <m:den>
            <m:r>
              <m:rPr/>
              <w:rPr>
                <w:rFonts w:hint="default" w:ascii="Cambria Math" w:hAnsi="Cambria Math"/>
                <w:sz w:val="24"/>
              </w:rPr>
              <m:t>TN+FP</m:t>
            </m:r>
            <m:ctrlPr>
              <w:rPr>
                <w:rFonts w:ascii="Cambria Math" w:hAnsi="Cambria Math"/>
                <w:sz w:val="24"/>
              </w:rPr>
            </m:ctrlPr>
          </m:den>
        </m:f>
        <m:r>
          <m:rPr/>
          <w:rPr>
            <w:rFonts w:hint="default" w:ascii="Cambria Math" w:hAnsi="Cambria Math"/>
            <w:sz w:val="24"/>
          </w:rPr>
          <m:t>)</m:t>
        </m:r>
        <m:r>
          <m:rPr>
            <m:sty m:val="p"/>
          </m:rPr>
          <w:rPr>
            <w:rFonts w:hint="default" w:ascii="Cambria Math" w:hAnsi="Cambria Math"/>
            <w:sz w:val="24"/>
          </w:rPr>
          <m:t xml:space="preserve"> </m:t>
        </m:r>
      </m:oMath>
      <w:r>
        <m:rPr/>
        <w:rPr>
          <w:rFonts w:hint="default" w:hAnsi="Cambria Math"/>
          <w:i w:val="0"/>
          <w:sz w:val="24"/>
          <w:lang w:val="en-US" w:eastAsia="zh-CN"/>
        </w:rPr>
        <w:t>；选择 Youden 指数</w:t>
      </w:r>
      <m:oMath>
        <m:r>
          <m:rPr/>
          <w:rPr>
            <w:rFonts w:hint="default" w:ascii="Cambria Math" w:hAnsi="Cambria Math"/>
            <w:sz w:val="24"/>
          </w:rPr>
          <m:t>(Youden=Sens+Spec−1)</m:t>
        </m:r>
      </m:oMath>
    </w:p>
    <w:p w14:paraId="4376847D">
      <w:pPr>
        <w:numPr>
          <w:ilvl w:val="0"/>
          <w:numId w:val="0"/>
        </w:numPr>
        <w:ind w:leftChars="0" w:firstLine="480" w:firstLineChars="200"/>
        <m:rPr/>
        <w:rPr>
          <w:rFonts w:hint="default" w:hAnsi="Cambria Math"/>
          <w:i w:val="0"/>
          <w:sz w:val="24"/>
          <w:lang w:val="en-US" w:eastAsia="zh-CN"/>
        </w:rPr>
      </w:pPr>
      <w:r>
        <m:rPr/>
        <w:rPr>
          <w:rFonts w:hint="default" w:hAnsi="Cambria Math"/>
          <w:i w:val="0"/>
          <w:sz w:val="24"/>
          <w:lang w:val="en-US" w:eastAsia="zh-CN"/>
        </w:rPr>
        <w:t>最大的阈值，基于附件数据拟合结果，最佳阈值</w:t>
      </w:r>
      <m:oMath>
        <m:r>
          <m:rPr/>
          <w:rPr>
            <w:rFonts w:hint="default" w:ascii="Cambria Math" w:hAnsi="Cambria Math"/>
            <w:sz w:val="24"/>
          </w:rPr>
          <m:t>τ=0.35</m:t>
        </m:r>
      </m:oMath>
      <w:r>
        <m:rPr/>
        <w:rPr>
          <w:rFonts w:hint="default" w:hAnsi="Cambria Math"/>
          <w:i w:val="0"/>
          <w:sz w:val="24"/>
          <w:lang w:val="en-US" w:eastAsia="zh-CN"/>
        </w:rPr>
        <w:t>（</w:t>
      </w:r>
      <m:oMath>
        <m:r>
          <m:rPr/>
          <w:rPr>
            <w:rFonts w:hint="default" w:ascii="Cambria Math" w:hAnsi="Cambria Math"/>
            <w:sz w:val="24"/>
          </w:rPr>
          <m:t>P(y=1|X)≥0.35</m:t>
        </m:r>
      </m:oMath>
      <w:r>
        <m:rPr/>
        <w:rPr>
          <w:rFonts w:hint="default" w:hAnsi="Cambria Math"/>
          <w:i w:val="0"/>
          <w:sz w:val="24"/>
          <w:lang w:val="en-US" w:eastAsia="zh-CN"/>
        </w:rPr>
        <w:t>)判定为异常）。</w:t>
      </w:r>
    </w:p>
    <w:p w14:paraId="262D6C7F">
      <w:pPr>
        <w:numPr>
          <w:ilvl w:val="0"/>
          <w:numId w:val="0"/>
        </w:numPr>
        <w:ind w:leftChars="0" w:firstLine="480" w:firstLineChars="200"/>
        <w:rPr>
          <w:rFonts w:ascii="Segoe UI" w:hAnsi="Segoe UI" w:eastAsia="Segoe UI" w:cs="Segoe UI"/>
          <w:i w:val="0"/>
          <w:iCs w:val="0"/>
          <w:caps w:val="0"/>
          <w:spacing w:val="0"/>
          <w:sz w:val="24"/>
          <w:szCs w:val="24"/>
          <w:shd w:val="clear" w:fill="F9FAFB"/>
        </w:rPr>
      </w:pPr>
      <w:r>
        <w:rPr>
          <w:rFonts w:hint="eastAsia" w:ascii="Segoe UI" w:hAnsi="Segoe UI" w:cs="Segoe UI"/>
          <w:i w:val="0"/>
          <w:iCs w:val="0"/>
          <w:caps w:val="0"/>
          <w:spacing w:val="0"/>
          <w:sz w:val="24"/>
          <w:szCs w:val="24"/>
          <w:shd w:val="clear" w:fill="F9FAFB"/>
          <w:lang w:val="en-US" w:eastAsia="zh-CN"/>
        </w:rPr>
        <w:t>最后</w:t>
      </w:r>
      <w:r>
        <w:rPr>
          <w:rFonts w:ascii="Segoe UI" w:hAnsi="Segoe UI" w:eastAsia="Segoe UI" w:cs="Segoe UI"/>
          <w:i w:val="0"/>
          <w:iCs w:val="0"/>
          <w:caps w:val="0"/>
          <w:spacing w:val="0"/>
          <w:sz w:val="24"/>
          <w:szCs w:val="24"/>
          <w:shd w:val="clear" w:fill="F9FAFB"/>
        </w:rPr>
        <w:t>采用随机森林处理 BMI 与 Z 值的非线性关系</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20"/>
        <w:gridCol w:w="3020"/>
        <w:gridCol w:w="3020"/>
      </w:tblGrid>
      <w:tr w14:paraId="472E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0" w:type="dxa"/>
            <w:tcBorders>
              <w:top w:val="single" w:color="auto" w:sz="12" w:space="0"/>
              <w:left w:val="nil"/>
              <w:bottom w:val="single" w:color="auto" w:sz="12" w:space="0"/>
              <w:right w:val="nil"/>
            </w:tcBorders>
            <w:vAlign w:val="center"/>
          </w:tcPr>
          <w:p w14:paraId="2D877064">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b/>
                <w:bCs/>
                <w:i w:val="0"/>
                <w:iCs w:val="0"/>
                <w:caps w:val="0"/>
                <w:color w:val="000000"/>
                <w:spacing w:val="0"/>
                <w:kern w:val="0"/>
                <w:sz w:val="24"/>
                <w:szCs w:val="24"/>
                <w:lang w:val="en-US" w:eastAsia="zh-CN" w:bidi="ar"/>
              </w:rPr>
              <w:t>参数名称</w:t>
            </w:r>
          </w:p>
        </w:tc>
        <w:tc>
          <w:tcPr>
            <w:tcW w:w="3020" w:type="dxa"/>
            <w:tcBorders>
              <w:top w:val="single" w:color="auto" w:sz="12" w:space="0"/>
              <w:left w:val="nil"/>
              <w:bottom w:val="single" w:color="auto" w:sz="12" w:space="0"/>
              <w:right w:val="nil"/>
            </w:tcBorders>
            <w:vAlign w:val="center"/>
          </w:tcPr>
          <w:p w14:paraId="42DCAB99">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b/>
                <w:bCs/>
                <w:i w:val="0"/>
                <w:iCs w:val="0"/>
                <w:caps w:val="0"/>
                <w:color w:val="000000"/>
                <w:spacing w:val="0"/>
                <w:kern w:val="0"/>
                <w:sz w:val="24"/>
                <w:szCs w:val="24"/>
                <w:lang w:val="en-US" w:eastAsia="zh-CN" w:bidi="ar"/>
              </w:rPr>
              <w:t>取值</w:t>
            </w:r>
          </w:p>
        </w:tc>
        <w:tc>
          <w:tcPr>
            <w:tcW w:w="3020" w:type="dxa"/>
            <w:tcBorders>
              <w:top w:val="single" w:color="auto" w:sz="12" w:space="0"/>
              <w:left w:val="nil"/>
              <w:bottom w:val="single" w:color="auto" w:sz="12" w:space="0"/>
              <w:right w:val="nil"/>
            </w:tcBorders>
            <w:vAlign w:val="center"/>
          </w:tcPr>
          <w:p w14:paraId="593C08AE">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b/>
                <w:bCs/>
                <w:i w:val="0"/>
                <w:iCs w:val="0"/>
                <w:caps w:val="0"/>
                <w:color w:val="000000"/>
                <w:spacing w:val="0"/>
                <w:kern w:val="0"/>
                <w:sz w:val="24"/>
                <w:szCs w:val="24"/>
                <w:lang w:val="en-US" w:eastAsia="zh-CN" w:bidi="ar"/>
              </w:rPr>
              <w:t>设置理由</w:t>
            </w:r>
          </w:p>
        </w:tc>
      </w:tr>
      <w:tr w14:paraId="7B81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20" w:type="dxa"/>
            <w:tcBorders>
              <w:top w:val="single" w:color="auto" w:sz="12" w:space="0"/>
              <w:left w:val="nil"/>
              <w:bottom w:val="nil"/>
              <w:right w:val="nil"/>
            </w:tcBorders>
            <w:vAlign w:val="center"/>
          </w:tcPr>
          <w:p w14:paraId="5B320D6D">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决策树数量</w:t>
            </w:r>
          </w:p>
        </w:tc>
        <w:tc>
          <w:tcPr>
            <w:tcW w:w="3020" w:type="dxa"/>
            <w:tcBorders>
              <w:top w:val="single" w:color="auto" w:sz="12" w:space="0"/>
              <w:left w:val="nil"/>
              <w:bottom w:val="nil"/>
              <w:right w:val="nil"/>
            </w:tcBorders>
            <w:vAlign w:val="center"/>
          </w:tcPr>
          <w:p w14:paraId="679F8810">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100</w:t>
            </w:r>
          </w:p>
        </w:tc>
        <w:tc>
          <w:tcPr>
            <w:tcW w:w="3020" w:type="dxa"/>
            <w:tcBorders>
              <w:top w:val="single" w:color="auto" w:sz="12" w:space="0"/>
              <w:left w:val="nil"/>
              <w:bottom w:val="nil"/>
              <w:right w:val="nil"/>
            </w:tcBorders>
            <w:vAlign w:val="center"/>
          </w:tcPr>
          <w:p w14:paraId="5EA0F77B">
            <w:pPr>
              <w:keepNext w:val="0"/>
              <w:keepLines w:val="0"/>
              <w:widowControl/>
              <w:suppressLineNumbers w:val="0"/>
              <w:spacing w:before="0" w:beforeAutospacing="0" w:after="0" w:afterAutospacing="0" w:line="420" w:lineRule="atLeast"/>
              <w:ind w:left="0" w:leftChars="0" w:right="0" w:rightChars="0" w:firstLine="0" w:firstLineChars="0"/>
              <w:jc w:val="both"/>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平衡准确率与计算效率</w:t>
            </w:r>
          </w:p>
        </w:tc>
      </w:tr>
      <w:tr w14:paraId="3F9F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20" w:type="dxa"/>
            <w:tcBorders>
              <w:top w:val="nil"/>
              <w:left w:val="nil"/>
              <w:bottom w:val="nil"/>
              <w:right w:val="nil"/>
            </w:tcBorders>
            <w:vAlign w:val="center"/>
          </w:tcPr>
          <w:p w14:paraId="65C28F41">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最大树深度</w:t>
            </w:r>
          </w:p>
        </w:tc>
        <w:tc>
          <w:tcPr>
            <w:tcW w:w="3020" w:type="dxa"/>
            <w:tcBorders>
              <w:top w:val="nil"/>
              <w:left w:val="nil"/>
              <w:bottom w:val="nil"/>
              <w:right w:val="nil"/>
            </w:tcBorders>
            <w:vAlign w:val="center"/>
          </w:tcPr>
          <w:p w14:paraId="64291CC8">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8</w:t>
            </w:r>
          </w:p>
        </w:tc>
        <w:tc>
          <w:tcPr>
            <w:tcW w:w="3020" w:type="dxa"/>
            <w:tcBorders>
              <w:top w:val="nil"/>
              <w:left w:val="nil"/>
              <w:bottom w:val="nil"/>
              <w:right w:val="nil"/>
            </w:tcBorders>
            <w:vAlign w:val="center"/>
          </w:tcPr>
          <w:p w14:paraId="1A5DF0F8">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限制树复杂度</w:t>
            </w:r>
          </w:p>
        </w:tc>
      </w:tr>
      <w:tr w14:paraId="7613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20" w:type="dxa"/>
            <w:tcBorders>
              <w:top w:val="nil"/>
              <w:left w:val="nil"/>
              <w:bottom w:val="nil"/>
              <w:right w:val="nil"/>
            </w:tcBorders>
            <w:vAlign w:val="center"/>
          </w:tcPr>
          <w:p w14:paraId="0FA3E560">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节点分裂最小样本数</w:t>
            </w:r>
          </w:p>
        </w:tc>
        <w:tc>
          <w:tcPr>
            <w:tcW w:w="3020" w:type="dxa"/>
            <w:tcBorders>
              <w:top w:val="nil"/>
              <w:left w:val="nil"/>
              <w:bottom w:val="nil"/>
              <w:right w:val="nil"/>
            </w:tcBorders>
            <w:vAlign w:val="center"/>
          </w:tcPr>
          <w:p w14:paraId="7BA57A81">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5</w:t>
            </w:r>
          </w:p>
        </w:tc>
        <w:tc>
          <w:tcPr>
            <w:tcW w:w="3020" w:type="dxa"/>
            <w:tcBorders>
              <w:top w:val="nil"/>
              <w:left w:val="nil"/>
              <w:bottom w:val="nil"/>
              <w:right w:val="nil"/>
            </w:tcBorders>
            <w:vAlign w:val="center"/>
          </w:tcPr>
          <w:p w14:paraId="0665A8EA">
            <w:pPr>
              <w:keepNext w:val="0"/>
              <w:keepLines w:val="0"/>
              <w:widowControl/>
              <w:suppressLineNumbers w:val="0"/>
              <w:spacing w:before="0" w:beforeAutospacing="0" w:after="0" w:afterAutospacing="0" w:line="420" w:lineRule="atLeast"/>
              <w:ind w:left="0" w:leftChars="0" w:right="0" w:rightChars="0" w:firstLine="0" w:firstLineChars="0"/>
              <w:jc w:val="both"/>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避免过拟合小样本噪声</w:t>
            </w:r>
          </w:p>
        </w:tc>
      </w:tr>
      <w:tr w14:paraId="00D7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20" w:type="dxa"/>
            <w:tcBorders>
              <w:top w:val="nil"/>
              <w:left w:val="nil"/>
              <w:bottom w:val="single" w:color="auto" w:sz="12" w:space="0"/>
              <w:right w:val="nil"/>
            </w:tcBorders>
            <w:vAlign w:val="center"/>
          </w:tcPr>
          <w:p w14:paraId="438B5E3E">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特征采样比例</w:t>
            </w:r>
          </w:p>
        </w:tc>
        <w:tc>
          <w:tcPr>
            <w:tcW w:w="3020" w:type="dxa"/>
            <w:tcBorders>
              <w:top w:val="nil"/>
              <w:left w:val="nil"/>
              <w:bottom w:val="single" w:color="auto" w:sz="12" w:space="0"/>
              <w:right w:val="nil"/>
            </w:tcBorders>
            <w:vAlign w:val="center"/>
          </w:tcPr>
          <w:p w14:paraId="3995076D">
            <w:pPr>
              <w:keepNext w:val="0"/>
              <w:keepLines w:val="0"/>
              <w:widowControl/>
              <w:suppressLineNumbers w:val="0"/>
              <w:spacing w:before="0" w:beforeAutospacing="0" w:after="0" w:afterAutospacing="0" w:line="420" w:lineRule="atLeast"/>
              <w:ind w:left="0" w:leftChars="0" w:right="0" w:rightChars="0" w:firstLine="480" w:firstLineChars="200"/>
              <w:jc w:val="center"/>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0.7</w:t>
            </w:r>
          </w:p>
        </w:tc>
        <w:tc>
          <w:tcPr>
            <w:tcW w:w="3020" w:type="dxa"/>
            <w:tcBorders>
              <w:top w:val="nil"/>
              <w:left w:val="nil"/>
              <w:bottom w:val="single" w:color="auto" w:sz="12" w:space="0"/>
              <w:right w:val="nil"/>
            </w:tcBorders>
            <w:vAlign w:val="center"/>
          </w:tcPr>
          <w:p w14:paraId="53D5D186">
            <w:pPr>
              <w:keepNext w:val="0"/>
              <w:keepLines w:val="0"/>
              <w:widowControl/>
              <w:suppressLineNumbers w:val="0"/>
              <w:spacing w:before="0" w:beforeAutospacing="0" w:after="0" w:afterAutospacing="0" w:line="420" w:lineRule="atLeast"/>
              <w:ind w:left="0" w:leftChars="0" w:right="0" w:rightChars="0" w:firstLine="0" w:firstLineChars="0"/>
              <w:jc w:val="both"/>
              <m:rPr/>
              <w:rPr>
                <w:rFonts w:hint="default" w:ascii="Segoe UI" w:hAnsi="Segoe UI" w:eastAsia="Segoe UI" w:cs="Segoe UI"/>
                <w:i w:val="0"/>
                <w:iCs w:val="0"/>
                <w:caps w:val="0"/>
                <w:spacing w:val="0"/>
                <w:sz w:val="24"/>
                <w:szCs w:val="24"/>
                <w:shd w:val="clear" w:fill="F9FAFB"/>
                <w:vertAlign w:val="baseline"/>
                <w:lang w:val="en-US" w:eastAsia="zh-CN"/>
              </w:rPr>
            </w:pPr>
            <w:r>
              <w:rPr>
                <w:rFonts w:hint="default" w:ascii="Segoe UI" w:hAnsi="Segoe UI" w:eastAsia="Segoe UI" w:cs="Segoe UI"/>
                <w:i w:val="0"/>
                <w:iCs w:val="0"/>
                <w:caps w:val="0"/>
                <w:color w:val="000000"/>
                <w:spacing w:val="0"/>
                <w:kern w:val="0"/>
                <w:sz w:val="24"/>
                <w:szCs w:val="24"/>
                <w:lang w:val="en-US" w:eastAsia="zh-CN" w:bidi="ar"/>
              </w:rPr>
              <w:t>每棵树随机选择7</w:t>
            </w:r>
            <w:r>
              <w:rPr>
                <w:rFonts w:hint="eastAsia" w:ascii="Segoe UI" w:hAnsi="Segoe UI" w:eastAsia="Segoe UI" w:cs="Segoe UI"/>
                <w:i w:val="0"/>
                <w:iCs w:val="0"/>
                <w:caps w:val="0"/>
                <w:color w:val="000000"/>
                <w:spacing w:val="0"/>
                <w:kern w:val="0"/>
                <w:sz w:val="24"/>
                <w:szCs w:val="24"/>
                <w:lang w:val="en-US" w:eastAsia="zh-CN" w:bidi="ar"/>
              </w:rPr>
              <w:t>0</w:t>
            </w:r>
            <w:r>
              <w:rPr>
                <w:rFonts w:hint="default" w:ascii="Segoe UI" w:hAnsi="Segoe UI" w:eastAsia="Segoe UI" w:cs="Segoe UI"/>
                <w:i w:val="0"/>
                <w:iCs w:val="0"/>
                <w:caps w:val="0"/>
                <w:color w:val="000000"/>
                <w:spacing w:val="0"/>
                <w:kern w:val="0"/>
                <w:sz w:val="24"/>
                <w:szCs w:val="24"/>
                <w:lang w:val="en-US" w:eastAsia="zh-CN" w:bidi="ar"/>
              </w:rPr>
              <w:t>的特征</w:t>
            </w:r>
          </w:p>
        </w:tc>
      </w:tr>
    </w:tbl>
    <w:p w14:paraId="500240E7">
      <w:pPr>
        <w:numPr>
          <w:ilvl w:val="0"/>
          <w:numId w:val="0"/>
        </w:numPr>
        <w:rPr>
          <w:rFonts w:hint="default"/>
          <w:lang w:val="en-US" w:eastAsia="zh-CN"/>
        </w:rPr>
      </w:pPr>
    </w:p>
    <w:p w14:paraId="23F902D3">
      <w:pPr>
        <w:numPr>
          <w:ilvl w:val="0"/>
          <w:numId w:val="0"/>
        </w:numPr>
        <w:rPr>
          <w:rFonts w:hint="default"/>
          <w:lang w:val="en-US" w:eastAsia="zh-CN"/>
        </w:rPr>
      </w:pPr>
      <w:r>
        <w:rPr>
          <w:rFonts w:hint="eastAsia"/>
          <w:lang w:val="en-US" w:eastAsia="zh-CN"/>
        </w:rPr>
        <w:t>（3）</w:t>
      </w:r>
      <w:r>
        <w:rPr>
          <w:rFonts w:hint="default"/>
          <w:lang w:val="en-US" w:eastAsia="zh-CN"/>
        </w:rPr>
        <w:t>临床判定流程</w:t>
      </w:r>
    </w:p>
    <w:p w14:paraId="4E52BFC1">
      <w:pPr>
        <w:numPr>
          <w:ilvl w:val="0"/>
          <w:numId w:val="0"/>
        </w:numPr>
        <w:rPr>
          <w:rFonts w:hint="default"/>
          <w:lang w:val="en-US" w:eastAsia="zh-CN"/>
        </w:rPr>
      </w:pPr>
      <w:r>
        <w:rPr>
          <w:rFonts w:hint="default"/>
          <w:lang w:val="en-US" w:eastAsia="zh-CN"/>
        </w:rPr>
        <w:t>将模型转化为分步式临床操作流程，医生无需理解复杂算法，仅需按步骤判定：</w:t>
      </w:r>
    </w:p>
    <w:p w14:paraId="2E73F117">
      <w:pPr>
        <w:numPr>
          <w:ilvl w:val="0"/>
          <w:numId w:val="0"/>
        </w:numPr>
        <w:ind w:leftChars="0" w:firstLine="480" w:firstLineChars="200"/>
        <w:rPr>
          <w:rFonts w:hint="eastAsia"/>
          <w:lang w:val="en-US" w:eastAsia="zh-CN"/>
        </w:rPr>
      </w:pPr>
      <w:r>
        <w:rPr>
          <w:rFonts w:hint="eastAsia"/>
          <w:lang w:val="en-US" w:eastAsia="zh-CN"/>
        </w:rPr>
        <w:t>Step1：测序质量初筛（排除无效样本）计算测序质量评分</w:t>
      </w:r>
      <m:oMath>
        <m:sSub>
          <m:sSubPr>
            <m:ctrlPr>
              <w:rPr>
                <w:rFonts w:ascii="Cambria Math" w:hAnsi="Cambria Math"/>
                <w:i/>
                <w:lang w:val="en-US"/>
              </w:rPr>
            </m:ctrlPr>
          </m:sSubPr>
          <m:e>
            <m:r>
              <m:rPr/>
              <w:rPr>
                <w:rFonts w:hint="default" w:ascii="Cambria Math" w:hAnsi="Cambria Math"/>
                <w:lang w:val="en-US" w:eastAsia="zh-CN"/>
              </w:rPr>
              <m:t>Q</m:t>
            </m:r>
            <m:ctrlPr>
              <w:rPr>
                <w:rFonts w:ascii="Cambria Math" w:hAnsi="Cambria Math"/>
                <w:i/>
                <w:lang w:val="en-US"/>
              </w:rPr>
            </m:ctrlPr>
          </m:e>
          <m:sub>
            <m:r>
              <m:rPr/>
              <w:rPr>
                <w:rFonts w:hint="default" w:ascii="Cambria Math" w:hAnsi="Cambria Math"/>
                <w:lang w:val="en-US" w:eastAsia="zh-CN"/>
              </w:rPr>
              <m:t>seq</m:t>
            </m:r>
            <m:ctrlPr>
              <w:rPr>
                <w:rFonts w:ascii="Cambria Math" w:hAnsi="Cambria Math"/>
                <w:i/>
                <w:lang w:val="en-US"/>
              </w:rPr>
            </m:ctrlPr>
          </m:sub>
        </m:sSub>
      </m:oMath>
      <w:r>
        <w:rPr>
          <w:rFonts w:hint="eastAsia"/>
          <w:lang w:val="en-US" w:eastAsia="zh-CN"/>
        </w:rPr>
        <w:t>，若满足以下任一条件，判定为 “需重新采血检测”</w:t>
      </w:r>
      <m:oMath>
        <m:sSub>
          <m:sSubPr>
            <m:ctrlPr>
              <w:rPr>
                <w:rFonts w:ascii="Cambria Math" w:hAnsi="Cambria Math"/>
                <w:i/>
                <w:lang w:val="en-US"/>
              </w:rPr>
            </m:ctrlPr>
          </m:sSubPr>
          <m:e>
            <m:r>
              <m:rPr/>
              <w:rPr>
                <w:rFonts w:hint="default" w:ascii="Cambria Math" w:hAnsi="Cambria Math"/>
                <w:lang w:val="en-US" w:eastAsia="zh-CN"/>
              </w:rPr>
              <m:t>Q</m:t>
            </m:r>
            <m:ctrlPr>
              <w:rPr>
                <w:rFonts w:ascii="Cambria Math" w:hAnsi="Cambria Math"/>
                <w:i/>
                <w:lang w:val="en-US"/>
              </w:rPr>
            </m:ctrlPr>
          </m:e>
          <m:sub>
            <m:r>
              <m:rPr/>
              <w:rPr>
                <w:rFonts w:hint="default" w:ascii="Cambria Math" w:hAnsi="Cambria Math"/>
                <w:lang w:val="en-US" w:eastAsia="zh-CN"/>
              </w:rPr>
              <m:t>seq</m:t>
            </m:r>
            <m:ctrlPr>
              <w:rPr>
                <w:rFonts w:ascii="Cambria Math" w:hAnsi="Cambria Math"/>
                <w:i/>
                <w:lang w:val="en-US"/>
              </w:rPr>
            </m:ctrlPr>
          </m:sub>
        </m:sSub>
      </m:oMath>
      <w:r>
        <w:rPr>
          <w:rFonts w:hint="eastAsia"/>
          <w:lang w:val="en-US" w:eastAsia="zh-CN"/>
        </w:rPr>
        <w:t>&lt; 0.6（测序质量低，Z 值不可靠）；13/18/21 号染色体中任一 GC 含量 &lt;40% 或&gt; 60%（GC 异常导致 Z 值失真）.</w:t>
      </w:r>
    </w:p>
    <w:p w14:paraId="1631CEE8">
      <w:pPr>
        <w:numPr>
          <w:ilvl w:val="0"/>
          <w:numId w:val="0"/>
        </w:numPr>
        <w:ind w:leftChars="0" w:firstLine="480" w:firstLineChars="200"/>
        <w:rPr>
          <w:rFonts w:hint="eastAsia"/>
          <w:lang w:val="en-US" w:eastAsia="zh-CN"/>
        </w:rPr>
      </w:pPr>
      <w:r>
        <w:rPr>
          <w:rFonts w:hint="eastAsia"/>
          <w:lang w:val="en-US" w:eastAsia="zh-CN"/>
        </w:rPr>
        <w:t>Step2:核心 Z 值快速判定</w:t>
      </w:r>
    </w:p>
    <w:p w14:paraId="7EBB2B1D">
      <w:pPr>
        <w:numPr>
          <w:ilvl w:val="0"/>
          <w:numId w:val="0"/>
        </w:numPr>
        <w:ind w:leftChars="0" w:firstLine="480" w:firstLineChars="200"/>
        <w:rPr>
          <w:rFonts w:hint="eastAsia"/>
          <w:lang w:val="en-US" w:eastAsia="zh-CN"/>
        </w:rPr>
      </w:pPr>
      <w:r>
        <w:rPr>
          <w:rFonts w:hint="eastAsia"/>
          <w:lang w:val="en-US" w:eastAsia="zh-CN"/>
        </w:rPr>
        <w:t>若满足以下任一条件，直接判定为 “染色体异常，建议羊水穿刺确诊”：21 号染色体标准化 Z'（S'）&gt;5.0、18 号染色体标准化 Z'（R'）&gt;5.5、13 号染色体标准化 Z'（Q'）&gt;6.0</w:t>
      </w:r>
    </w:p>
    <w:p w14:paraId="425485F5">
      <w:pPr>
        <w:numPr>
          <w:ilvl w:val="0"/>
          <w:numId w:val="0"/>
        </w:numPr>
        <w:ind w:leftChars="0" w:firstLine="480" w:firstLineChars="200"/>
        <w:rPr>
          <w:rFonts w:hint="eastAsia"/>
          <w:lang w:val="en-US" w:eastAsia="zh-CN"/>
        </w:rPr>
      </w:pPr>
      <w:r>
        <w:rPr>
          <w:rFonts w:hint="eastAsia"/>
          <w:lang w:val="en-US" w:eastAsia="zh-CN"/>
        </w:rPr>
        <w:t>Step3：综合概率判定（处理疑似样本）对未通过第一步、第二步的样本，计算逻辑回归异常概率P，若P ≥ 0.35判定为 “疑似异常，建议 2 周内复查 NIPT 或羊水穿刺”；若P &lt; 0.35进入第四步特殊情况校正。</w:t>
      </w:r>
    </w:p>
    <w:p w14:paraId="69F02D03">
      <w:pPr>
        <w:numPr>
          <w:ilvl w:val="0"/>
          <w:numId w:val="0"/>
        </w:numPr>
        <w:ind w:leftChars="0" w:firstLine="480" w:firstLineChars="200"/>
        <w:rPr>
          <w:rFonts w:hint="default"/>
          <w:lang w:val="en-US" w:eastAsia="zh-CN"/>
        </w:rPr>
      </w:pPr>
      <w:r>
        <w:rPr>
          <w:rFonts w:hint="eastAsia"/>
          <w:lang w:val="en-US" w:eastAsia="zh-CN"/>
        </w:rPr>
        <w:t>Step4：</w:t>
      </w:r>
      <w:r>
        <w:rPr>
          <w:rFonts w:hint="default"/>
          <w:lang w:val="en-US" w:eastAsia="zh-CN"/>
        </w:rPr>
        <w:t>特殊情况校正（高 BMI 样本补漏）针对高 BMI（BMI≥32）的女胎孕妇，若满足 “X 号染色体标准化 Z'（T'）&gt;3.0”，即使P &lt; 0.35，仍判定为 “疑似异常”</w:t>
      </w:r>
      <w:r>
        <w:rPr>
          <w:rFonts w:hint="eastAsia"/>
          <w:lang w:val="en-US" w:eastAsia="zh-CN"/>
        </w:rPr>
        <w:t>、</w:t>
      </w:r>
      <w:r>
        <w:rPr>
          <w:rFonts w:hint="default"/>
          <w:lang w:val="en-US" w:eastAsia="zh-CN"/>
        </w:rPr>
        <w:t>因高 BMI 可能稀释 X 染色体游离 DNA 浓度，导致核心染色体 Z 值异常被掩盖，需额外警惕。</w:t>
      </w:r>
    </w:p>
    <w:p w14:paraId="3C5BCB8D">
      <w:pPr>
        <w:numPr>
          <w:ilvl w:val="0"/>
          <w:numId w:val="0"/>
        </w:numPr>
        <w:ind w:leftChars="0" w:firstLine="480" w:firstLineChars="200"/>
        <w:rPr>
          <w:rFonts w:hint="default"/>
          <w:lang w:val="en-US" w:eastAsia="zh-CN"/>
        </w:rPr>
      </w:pPr>
      <w:r>
        <w:rPr>
          <w:rFonts w:hint="eastAsia"/>
          <w:lang w:val="en-US" w:eastAsia="zh-CN"/>
        </w:rPr>
        <w:t>Step4：</w:t>
      </w:r>
      <w:r>
        <w:rPr>
          <w:rFonts w:hint="default"/>
          <w:lang w:val="en-US" w:eastAsia="zh-CN"/>
        </w:rPr>
        <w:t>输出最终结果根据上述步骤，输出 “正常”“疑似异常”“异常” 三类结果，并附判定依据。</w:t>
      </w:r>
    </w:p>
    <w:p w14:paraId="14486C4C">
      <w:pPr>
        <w:numPr>
          <w:ilvl w:val="0"/>
          <w:numId w:val="0"/>
        </w:numPr>
        <w:ind w:leftChars="0" w:firstLine="480" w:firstLineChars="200"/>
        <w:rPr>
          <w:rFonts w:hint="default"/>
          <w:lang w:val="en-US" w:eastAsia="zh-CN"/>
        </w:rPr>
      </w:pPr>
    </w:p>
    <w:p w14:paraId="2FDBA56B">
      <w:pPr>
        <w:numPr>
          <w:ilvl w:val="0"/>
          <w:numId w:val="0"/>
        </w:numPr>
        <w:ind w:leftChars="0" w:firstLine="480" w:firstLineChars="200"/>
        <w:rPr>
          <w:rFonts w:hint="default"/>
          <w:lang w:val="en-US" w:eastAsia="zh-CN"/>
        </w:rPr>
      </w:pPr>
      <w:r>
        <w:rPr>
          <w:rFonts w:hint="default"/>
          <w:lang w:val="en-US" w:eastAsia="zh-CN"/>
        </w:rPr>
        <w:t>筛选后女胎样本数：604（异常样本数：67，正常样本数：537）</w:t>
      </w:r>
    </w:p>
    <w:p w14:paraId="54C4D72C">
      <w:pPr>
        <w:numPr>
          <w:ilvl w:val="0"/>
          <w:numId w:val="0"/>
        </w:numPr>
        <w:ind w:leftChars="0" w:firstLine="480" w:firstLineChars="200"/>
        <w:rPr>
          <w:rFonts w:hint="default"/>
          <w:lang w:val="en-US" w:eastAsia="zh-CN"/>
        </w:rPr>
      </w:pPr>
      <w:r>
        <w:rPr>
          <w:rFonts w:hint="default"/>
          <w:lang w:val="en-US" w:eastAsia="zh-CN"/>
        </w:rPr>
        <w:t>Z值标准化完成（正常样本|Z|均值：1.071, 1.170, 0.897, 1.058）</w:t>
      </w:r>
    </w:p>
    <w:p w14:paraId="4E4623E3">
      <w:pPr>
        <w:numPr>
          <w:ilvl w:val="0"/>
          <w:numId w:val="0"/>
        </w:numPr>
        <w:ind w:leftChars="0" w:firstLine="480" w:firstLineChars="200"/>
        <w:rPr>
          <w:rFonts w:hint="default"/>
          <w:lang w:val="en-US" w:eastAsia="zh-CN"/>
        </w:rPr>
      </w:pPr>
      <w:r>
        <w:rPr>
          <w:rFonts w:hint="default"/>
          <w:lang w:val="en-US" w:eastAsia="zh-CN"/>
        </w:rPr>
        <w:t>测序质量评分Q_seq均值：0.840（范围：0.740~0.855）</w:t>
      </w:r>
    </w:p>
    <w:p w14:paraId="703159BC">
      <w:pPr>
        <w:numPr>
          <w:ilvl w:val="0"/>
          <w:numId w:val="0"/>
        </w:numPr>
        <w:ind w:leftChars="0" w:firstLine="480" w:firstLineChars="200"/>
        <w:rPr>
          <w:rFonts w:hint="default"/>
          <w:lang w:val="en-US" w:eastAsia="zh-CN"/>
        </w:rPr>
      </w:pPr>
      <w:r>
        <w:rPr>
          <w:rFonts w:hint="default"/>
          <w:lang w:val="en-US" w:eastAsia="zh-CN"/>
        </w:rPr>
        <w:t>BMI分组分布：1组(＜28)：5例，2组([28,32))：338例，3组(≥32)：261例</w:t>
      </w:r>
    </w:p>
    <w:p w14:paraId="0F3A4731">
      <w:pPr>
        <w:numPr>
          <w:ilvl w:val="0"/>
          <w:numId w:val="0"/>
        </w:numPr>
        <w:ind w:leftChars="0" w:firstLine="480" w:firstLineChars="200"/>
        <w:rPr>
          <w:rFonts w:hint="default"/>
          <w:lang w:val="en-US" w:eastAsia="zh-CN"/>
        </w:rPr>
      </w:pPr>
    </w:p>
    <w:p w14:paraId="338EB21B">
      <w:pPr>
        <w:numPr>
          <w:ilvl w:val="0"/>
          <w:numId w:val="0"/>
        </w:numPr>
        <w:ind w:leftChars="0" w:firstLine="480" w:firstLineChars="200"/>
        <w:rPr>
          <w:rFonts w:hint="default"/>
          <w:lang w:val="en-US" w:eastAsia="zh-CN"/>
        </w:rPr>
      </w:pPr>
      <w:r>
        <w:rPr>
          <w:rFonts w:hint="default"/>
          <w:lang w:val="en-US" w:eastAsia="zh-CN"/>
        </w:rPr>
        <w:t>=== 特征重要性排序（前10）===</w:t>
      </w:r>
    </w:p>
    <w:p w14:paraId="06937C17">
      <w:pPr>
        <w:numPr>
          <w:ilvl w:val="0"/>
          <w:numId w:val="0"/>
        </w:numPr>
        <w:ind w:leftChars="0" w:firstLine="480" w:firstLineChars="200"/>
        <w:rPr>
          <w:rFonts w:hint="default"/>
          <w:lang w:val="en-US" w:eastAsia="zh-CN"/>
        </w:rPr>
      </w:pPr>
      <w:r>
        <w:rPr>
          <w:rFonts w:hint="default"/>
          <w:lang w:val="en-US" w:eastAsia="zh-CN"/>
        </w:rPr>
        <w:t>1. Age：3.739</w:t>
      </w:r>
    </w:p>
    <w:p w14:paraId="6703E1CE">
      <w:pPr>
        <w:numPr>
          <w:ilvl w:val="0"/>
          <w:numId w:val="0"/>
        </w:numPr>
        <w:ind w:leftChars="0" w:firstLine="480" w:firstLineChars="200"/>
        <w:rPr>
          <w:rFonts w:hint="default"/>
          <w:lang w:val="en-US" w:eastAsia="zh-CN"/>
        </w:rPr>
      </w:pPr>
      <w:r>
        <w:rPr>
          <w:rFonts w:hint="default"/>
          <w:lang w:val="en-US" w:eastAsia="zh-CN"/>
        </w:rPr>
        <w:t>2. BMI_code：1.157</w:t>
      </w:r>
    </w:p>
    <w:p w14:paraId="2A57A525">
      <w:pPr>
        <w:numPr>
          <w:ilvl w:val="0"/>
          <w:numId w:val="0"/>
        </w:numPr>
        <w:ind w:leftChars="0" w:firstLine="480" w:firstLineChars="200"/>
        <w:rPr>
          <w:rFonts w:hint="default"/>
          <w:lang w:val="en-US" w:eastAsia="zh-CN"/>
        </w:rPr>
      </w:pPr>
      <w:r>
        <w:rPr>
          <w:rFonts w:hint="default"/>
          <w:lang w:val="en-US" w:eastAsia="zh-CN"/>
        </w:rPr>
        <w:t>3. Z13：0.123</w:t>
      </w:r>
    </w:p>
    <w:p w14:paraId="5A70F6BE">
      <w:pPr>
        <w:numPr>
          <w:ilvl w:val="0"/>
          <w:numId w:val="0"/>
        </w:numPr>
        <w:ind w:leftChars="0" w:firstLine="480" w:firstLineChars="200"/>
        <w:rPr>
          <w:rFonts w:hint="default"/>
          <w:lang w:val="en-US" w:eastAsia="zh-CN"/>
        </w:rPr>
      </w:pPr>
      <w:r>
        <w:rPr>
          <w:rFonts w:hint="default"/>
          <w:lang w:val="en-US" w:eastAsia="zh-CN"/>
        </w:rPr>
        <w:t>4. IVF：0.000</w:t>
      </w:r>
    </w:p>
    <w:p w14:paraId="527FE364">
      <w:pPr>
        <w:numPr>
          <w:ilvl w:val="0"/>
          <w:numId w:val="0"/>
        </w:numPr>
        <w:ind w:leftChars="0" w:firstLine="480" w:firstLineChars="200"/>
        <w:rPr>
          <w:rFonts w:hint="default"/>
          <w:lang w:val="en-US" w:eastAsia="zh-CN"/>
        </w:rPr>
      </w:pPr>
      <w:r>
        <w:rPr>
          <w:rFonts w:hint="default"/>
          <w:lang w:val="en-US" w:eastAsia="zh-CN"/>
        </w:rPr>
        <w:t>5. Q_seq：-0.220</w:t>
      </w:r>
    </w:p>
    <w:p w14:paraId="0C9C78D6">
      <w:pPr>
        <w:numPr>
          <w:ilvl w:val="0"/>
          <w:numId w:val="0"/>
        </w:numPr>
        <w:ind w:leftChars="0" w:firstLine="480" w:firstLineChars="200"/>
        <w:rPr>
          <w:rFonts w:hint="default"/>
          <w:lang w:val="en-US" w:eastAsia="zh-CN"/>
        </w:rPr>
      </w:pPr>
      <w:r>
        <w:rPr>
          <w:rFonts w:hint="default"/>
          <w:lang w:val="en-US" w:eastAsia="zh-CN"/>
        </w:rPr>
        <w:t>6. ZX：-0.277</w:t>
      </w:r>
    </w:p>
    <w:p w14:paraId="662997E3">
      <w:pPr>
        <w:numPr>
          <w:ilvl w:val="0"/>
          <w:numId w:val="0"/>
        </w:numPr>
        <w:ind w:leftChars="0" w:firstLine="480" w:firstLineChars="200"/>
        <w:rPr>
          <w:rFonts w:hint="default"/>
          <w:lang w:val="en-US" w:eastAsia="zh-CN"/>
        </w:rPr>
      </w:pPr>
      <w:r>
        <w:rPr>
          <w:rFonts w:hint="default"/>
          <w:lang w:val="en-US" w:eastAsia="zh-CN"/>
        </w:rPr>
        <w:t>7. Z18：-0.327</w:t>
      </w:r>
    </w:p>
    <w:p w14:paraId="0264182B">
      <w:pPr>
        <w:numPr>
          <w:ilvl w:val="0"/>
          <w:numId w:val="0"/>
        </w:numPr>
        <w:ind w:leftChars="0" w:firstLine="480" w:firstLineChars="200"/>
        <w:rPr>
          <w:rFonts w:hint="default"/>
          <w:lang w:val="en-US" w:eastAsia="zh-CN"/>
        </w:rPr>
      </w:pPr>
      <w:r>
        <w:rPr>
          <w:rFonts w:hint="default"/>
          <w:lang w:val="en-US" w:eastAsia="zh-CN"/>
        </w:rPr>
        <w:t>8. GC_abnormal：-0.836</w:t>
      </w:r>
    </w:p>
    <w:p w14:paraId="4D8EE669">
      <w:pPr>
        <w:numPr>
          <w:ilvl w:val="0"/>
          <w:numId w:val="0"/>
        </w:numPr>
        <w:ind w:leftChars="0" w:firstLine="480" w:firstLineChars="200"/>
        <w:rPr>
          <w:rFonts w:hint="default"/>
          <w:lang w:val="en-US" w:eastAsia="zh-CN"/>
        </w:rPr>
      </w:pPr>
      <w:r>
        <w:rPr>
          <w:rFonts w:hint="default"/>
          <w:lang w:val="en-US" w:eastAsia="zh-CN"/>
        </w:rPr>
        <w:t>9. Z21：-2.359</w:t>
      </w:r>
    </w:p>
    <w:p w14:paraId="016BE36E">
      <w:pPr>
        <w:numPr>
          <w:ilvl w:val="0"/>
          <w:numId w:val="0"/>
        </w:numPr>
        <w:ind w:leftChars="0" w:firstLine="480" w:firstLineChars="200"/>
        <w:rPr>
          <w:rFonts w:hint="default"/>
          <w:lang w:val="en-US" w:eastAsia="zh-CN"/>
        </w:rPr>
      </w:pPr>
      <w:r>
        <w:rPr>
          <w:rFonts w:hint="default"/>
          <w:lang w:val="en-US" w:eastAsia="zh-CN"/>
        </w:rPr>
        <w:t>最终筛选特征数：9（Z13, Z18, Z21, ZX, Q_seq, BMI_code, Age, IVF, GC_abnormal）</w:t>
      </w:r>
    </w:p>
    <w:p w14:paraId="7FA84D24">
      <w:pPr>
        <w:numPr>
          <w:ilvl w:val="0"/>
          <w:numId w:val="0"/>
        </w:numPr>
        <w:ind w:leftChars="0" w:firstLine="480" w:firstLineChars="200"/>
        <w:rPr>
          <w:rFonts w:hint="default"/>
          <w:lang w:val="en-US" w:eastAsia="zh-CN"/>
        </w:rPr>
      </w:pPr>
    </w:p>
    <w:p w14:paraId="67A84699">
      <w:pPr>
        <w:numPr>
          <w:ilvl w:val="0"/>
          <w:numId w:val="0"/>
        </w:numPr>
        <w:ind w:leftChars="0" w:firstLine="480" w:firstLineChars="200"/>
        <w:rPr>
          <w:rFonts w:hint="default"/>
          <w:lang w:val="en-US" w:eastAsia="zh-CN"/>
        </w:rPr>
      </w:pPr>
      <w:r>
        <w:rPr>
          <w:rFonts w:hint="default"/>
          <w:lang w:val="en-US" w:eastAsia="zh-CN"/>
        </w:rPr>
        <w:t>逻辑回归核心特征：Z13, Z18, Z21, ZX, Q_seq, BMI_code</w:t>
      </w:r>
    </w:p>
    <w:p w14:paraId="6B24674F">
      <w:pPr>
        <w:numPr>
          <w:ilvl w:val="0"/>
          <w:numId w:val="0"/>
        </w:numPr>
        <w:ind w:leftChars="0" w:firstLine="480" w:firstLineChars="200"/>
        <w:rPr>
          <w:rFonts w:hint="default"/>
          <w:lang w:val="en-US" w:eastAsia="zh-CN"/>
        </w:rPr>
      </w:pPr>
    </w:p>
    <w:p w14:paraId="2E1ACE06">
      <w:pPr>
        <w:numPr>
          <w:ilvl w:val="0"/>
          <w:numId w:val="0"/>
        </w:numPr>
        <w:ind w:leftChars="0" w:firstLine="480" w:firstLineChars="200"/>
        <w:rPr>
          <w:rFonts w:hint="default"/>
          <w:lang w:val="en-US" w:eastAsia="zh-CN"/>
        </w:rPr>
      </w:pPr>
      <w:r>
        <w:rPr>
          <w:rFonts w:hint="default"/>
          <w:lang w:val="en-US" w:eastAsia="zh-CN"/>
        </w:rPr>
        <w:t>=== 逻辑回归模型权重 ===</w:t>
      </w:r>
    </w:p>
    <w:p w14:paraId="3CEA624E">
      <w:pPr>
        <w:numPr>
          <w:ilvl w:val="0"/>
          <w:numId w:val="0"/>
        </w:numPr>
        <w:ind w:leftChars="0" w:firstLine="480" w:firstLineChars="200"/>
        <w:rPr>
          <w:rFonts w:hint="default"/>
          <w:lang w:val="en-US" w:eastAsia="zh-CN"/>
        </w:rPr>
      </w:pPr>
      <w:r>
        <w:rPr>
          <w:rFonts w:hint="default"/>
          <w:lang w:val="en-US" w:eastAsia="zh-CN"/>
        </w:rPr>
        <w:t>常数项（β0）：0.000</w:t>
      </w:r>
    </w:p>
    <w:p w14:paraId="3D7AFA51">
      <w:pPr>
        <w:numPr>
          <w:ilvl w:val="0"/>
          <w:numId w:val="0"/>
        </w:numPr>
        <w:ind w:leftChars="0" w:firstLine="480" w:firstLineChars="200"/>
        <w:rPr>
          <w:rFonts w:hint="default"/>
          <w:lang w:val="en-US" w:eastAsia="zh-CN"/>
        </w:rPr>
      </w:pPr>
      <w:r>
        <w:rPr>
          <w:rFonts w:hint="default"/>
          <w:lang w:val="en-US" w:eastAsia="zh-CN"/>
        </w:rPr>
        <w:t>Z13（β1）：-0.767</w:t>
      </w:r>
    </w:p>
    <w:p w14:paraId="317C7D86">
      <w:pPr>
        <w:numPr>
          <w:ilvl w:val="0"/>
          <w:numId w:val="0"/>
        </w:numPr>
        <w:ind w:leftChars="0" w:firstLine="480" w:firstLineChars="200"/>
        <w:rPr>
          <w:rFonts w:hint="default"/>
          <w:lang w:val="en-US" w:eastAsia="zh-CN"/>
        </w:rPr>
      </w:pPr>
      <w:r>
        <w:rPr>
          <w:rFonts w:hint="default"/>
          <w:lang w:val="en-US" w:eastAsia="zh-CN"/>
        </w:rPr>
        <w:t>Z18（β2）：0.036</w:t>
      </w:r>
    </w:p>
    <w:p w14:paraId="4F1095E3">
      <w:pPr>
        <w:numPr>
          <w:ilvl w:val="0"/>
          <w:numId w:val="0"/>
        </w:numPr>
        <w:ind w:leftChars="0" w:firstLine="480" w:firstLineChars="200"/>
        <w:rPr>
          <w:rFonts w:hint="default"/>
          <w:lang w:val="en-US" w:eastAsia="zh-CN"/>
        </w:rPr>
      </w:pPr>
      <w:r>
        <w:rPr>
          <w:rFonts w:hint="default"/>
          <w:lang w:val="en-US" w:eastAsia="zh-CN"/>
        </w:rPr>
        <w:t>Z21（β3）：-0.073</w:t>
      </w:r>
    </w:p>
    <w:p w14:paraId="16600EDB">
      <w:pPr>
        <w:numPr>
          <w:ilvl w:val="0"/>
          <w:numId w:val="0"/>
        </w:numPr>
        <w:ind w:leftChars="0" w:firstLine="480" w:firstLineChars="200"/>
        <w:rPr>
          <w:rFonts w:hint="default"/>
          <w:lang w:val="en-US" w:eastAsia="zh-CN"/>
        </w:rPr>
      </w:pPr>
      <w:r>
        <w:rPr>
          <w:rFonts w:hint="default"/>
          <w:lang w:val="en-US" w:eastAsia="zh-CN"/>
        </w:rPr>
        <w:t>ZX（β4）：0.068</w:t>
      </w:r>
    </w:p>
    <w:p w14:paraId="48344495">
      <w:pPr>
        <w:numPr>
          <w:ilvl w:val="0"/>
          <w:numId w:val="0"/>
        </w:numPr>
        <w:ind w:leftChars="0" w:firstLine="480" w:firstLineChars="200"/>
        <w:rPr>
          <w:rFonts w:hint="default"/>
          <w:lang w:val="en-US" w:eastAsia="zh-CN"/>
        </w:rPr>
      </w:pPr>
      <w:r>
        <w:rPr>
          <w:rFonts w:hint="default"/>
          <w:lang w:val="en-US" w:eastAsia="zh-CN"/>
        </w:rPr>
        <w:t>Q_seq（β5）：-0.055</w:t>
      </w:r>
    </w:p>
    <w:p w14:paraId="4D08EFA2">
      <w:pPr>
        <w:numPr>
          <w:ilvl w:val="0"/>
          <w:numId w:val="0"/>
        </w:numPr>
        <w:ind w:leftChars="0" w:firstLine="480" w:firstLineChars="200"/>
        <w:rPr>
          <w:rFonts w:hint="default"/>
          <w:lang w:val="en-US" w:eastAsia="zh-CN"/>
        </w:rPr>
      </w:pPr>
      <w:r>
        <w:rPr>
          <w:rFonts w:hint="default"/>
          <w:lang w:val="en-US" w:eastAsia="zh-CN"/>
        </w:rPr>
        <w:t>BMI_code（β6）：-0.765</w:t>
      </w:r>
    </w:p>
    <w:p w14:paraId="6D48E0B4">
      <w:pPr>
        <w:numPr>
          <w:ilvl w:val="0"/>
          <w:numId w:val="0"/>
        </w:numPr>
        <w:ind w:leftChars="0" w:firstLine="480" w:firstLineChars="200"/>
        <w:rPr>
          <w:rFonts w:hint="default"/>
          <w:lang w:val="en-US" w:eastAsia="zh-CN"/>
        </w:rPr>
      </w:pPr>
    </w:p>
    <w:p w14:paraId="528F0311">
      <w:pPr>
        <w:numPr>
          <w:ilvl w:val="0"/>
          <w:numId w:val="0"/>
        </w:numPr>
        <w:ind w:leftChars="0" w:firstLine="480" w:firstLineChars="200"/>
        <w:rPr>
          <w:rFonts w:hint="default"/>
          <w:lang w:val="en-US" w:eastAsia="zh-CN"/>
        </w:rPr>
      </w:pPr>
      <w:r>
        <w:rPr>
          <w:rFonts w:hint="default"/>
          <w:lang w:val="en-US" w:eastAsia="zh-CN"/>
        </w:rPr>
        <w:t>逻辑回归最佳阈值：0.123（Youden指数：0.107）</w:t>
      </w:r>
    </w:p>
    <w:p w14:paraId="544B1FE6">
      <w:pPr>
        <w:numPr>
          <w:ilvl w:val="0"/>
          <w:numId w:val="0"/>
        </w:numPr>
        <w:ind w:leftChars="0" w:firstLine="480" w:firstLineChars="200"/>
        <w:rPr>
          <w:rFonts w:hint="default"/>
          <w:lang w:val="en-US" w:eastAsia="zh-CN"/>
        </w:rPr>
      </w:pPr>
    </w:p>
    <w:p w14:paraId="4E0CBC3C">
      <w:pPr>
        <w:numPr>
          <w:ilvl w:val="0"/>
          <w:numId w:val="0"/>
        </w:numPr>
        <w:ind w:leftChars="0" w:firstLine="480" w:firstLineChars="200"/>
        <w:rPr>
          <w:rFonts w:hint="default"/>
          <w:lang w:val="en-US" w:eastAsia="zh-CN"/>
        </w:rPr>
      </w:pPr>
      <w:r>
        <w:rPr>
          <w:rFonts w:hint="default"/>
          <w:lang w:val="en-US" w:eastAsia="zh-CN"/>
        </w:rPr>
        <w:t>=== 逻辑回归模型评估 ===</w:t>
      </w:r>
    </w:p>
    <w:p w14:paraId="367E0FED">
      <w:pPr>
        <w:numPr>
          <w:ilvl w:val="0"/>
          <w:numId w:val="0"/>
        </w:numPr>
        <w:ind w:leftChars="0" w:firstLine="480" w:firstLineChars="200"/>
        <w:rPr>
          <w:rFonts w:hint="default"/>
          <w:lang w:val="en-US" w:eastAsia="zh-CN"/>
        </w:rPr>
      </w:pPr>
      <w:r>
        <w:rPr>
          <w:rFonts w:hint="default"/>
          <w:lang w:val="en-US" w:eastAsia="zh-CN"/>
        </w:rPr>
        <w:t>灵敏度（不漏诊）：40.30%</w:t>
      </w:r>
    </w:p>
    <w:p w14:paraId="7DAD7794">
      <w:pPr>
        <w:numPr>
          <w:ilvl w:val="0"/>
          <w:numId w:val="0"/>
        </w:numPr>
        <w:ind w:leftChars="0" w:firstLine="480" w:firstLineChars="200"/>
        <w:rPr>
          <w:rFonts w:hint="default"/>
          <w:lang w:val="en-US" w:eastAsia="zh-CN"/>
        </w:rPr>
      </w:pPr>
      <w:r>
        <w:rPr>
          <w:rFonts w:hint="default"/>
          <w:lang w:val="en-US" w:eastAsia="zh-CN"/>
        </w:rPr>
        <w:t>特异度（不误诊）：70.39%</w:t>
      </w:r>
    </w:p>
    <w:p w14:paraId="4DCF8F73">
      <w:pPr>
        <w:numPr>
          <w:ilvl w:val="0"/>
          <w:numId w:val="0"/>
        </w:numPr>
        <w:ind w:leftChars="0" w:firstLine="480" w:firstLineChars="200"/>
        <w:rPr>
          <w:rFonts w:hint="default"/>
          <w:lang w:val="en-US" w:eastAsia="zh-CN"/>
        </w:rPr>
      </w:pPr>
      <w:r>
        <w:rPr>
          <w:rFonts w:hint="default"/>
          <w:lang w:val="en-US" w:eastAsia="zh-CN"/>
        </w:rPr>
        <w:t>准确率：67.05%</w:t>
      </w:r>
    </w:p>
    <w:p w14:paraId="1C4944C3">
      <w:pPr>
        <w:numPr>
          <w:ilvl w:val="0"/>
          <w:numId w:val="0"/>
        </w:numPr>
        <w:ind w:leftChars="0" w:firstLine="480" w:firstLineChars="200"/>
        <w:rPr>
          <w:rFonts w:hint="default"/>
          <w:lang w:val="en-US" w:eastAsia="zh-CN"/>
        </w:rPr>
      </w:pPr>
      <w:r>
        <w:rPr>
          <w:rFonts w:hint="default"/>
          <w:lang w:val="en-US" w:eastAsia="zh-CN"/>
        </w:rPr>
        <w:t>AUC：0.549</w:t>
      </w:r>
    </w:p>
    <w:p w14:paraId="739AB74F">
      <w:pPr>
        <w:numPr>
          <w:ilvl w:val="0"/>
          <w:numId w:val="0"/>
        </w:numPr>
        <w:ind w:leftChars="0" w:firstLine="480" w:firstLineChars="200"/>
        <w:rPr>
          <w:rFonts w:hint="default"/>
          <w:lang w:val="en-US" w:eastAsia="zh-CN"/>
        </w:rPr>
      </w:pPr>
    </w:p>
    <w:p w14:paraId="5AF383BD">
      <w:pPr>
        <w:numPr>
          <w:ilvl w:val="0"/>
          <w:numId w:val="0"/>
        </w:numPr>
        <w:ind w:leftChars="0" w:firstLine="480" w:firstLineChars="200"/>
        <w:rPr>
          <w:rFonts w:hint="default"/>
          <w:lang w:val="en-US" w:eastAsia="zh-CN"/>
        </w:rPr>
      </w:pPr>
      <w:r>
        <w:rPr>
          <w:rFonts w:hint="default"/>
          <w:lang w:val="en-US" w:eastAsia="zh-CN"/>
        </w:rPr>
        <w:t>=== 随机森林5折交叉验证 ===</w:t>
      </w:r>
    </w:p>
    <w:p w14:paraId="4C1F90A8">
      <w:pPr>
        <w:numPr>
          <w:ilvl w:val="0"/>
          <w:numId w:val="0"/>
        </w:numPr>
        <w:ind w:leftChars="0" w:firstLine="480" w:firstLineChars="200"/>
        <w:rPr>
          <w:rFonts w:hint="default"/>
          <w:lang w:val="en-US" w:eastAsia="zh-CN"/>
        </w:rPr>
      </w:pPr>
      <w:r>
        <w:rPr>
          <w:rFonts w:hint="default"/>
          <w:lang w:val="en-US" w:eastAsia="zh-CN"/>
        </w:rPr>
        <w:t>第1折：灵敏度=15.38%, 特异度=83.18%, 准确率=75.83%, AUC=0.519</w:t>
      </w:r>
    </w:p>
    <w:p w14:paraId="2BF81244">
      <w:pPr>
        <w:numPr>
          <w:ilvl w:val="0"/>
          <w:numId w:val="0"/>
        </w:numPr>
        <w:ind w:leftChars="0" w:firstLine="480" w:firstLineChars="200"/>
        <w:rPr>
          <w:rFonts w:hint="default"/>
          <w:lang w:val="en-US" w:eastAsia="zh-CN"/>
        </w:rPr>
      </w:pPr>
      <w:r>
        <w:rPr>
          <w:rFonts w:hint="default"/>
          <w:lang w:val="en-US" w:eastAsia="zh-CN"/>
        </w:rPr>
        <w:t>第2折：灵敏度=7.69%, 特异度=73.15%, 准确率=66.12%, AUC=0.475</w:t>
      </w:r>
    </w:p>
    <w:p w14:paraId="1EA018C2">
      <w:pPr>
        <w:numPr>
          <w:ilvl w:val="0"/>
          <w:numId w:val="0"/>
        </w:numPr>
        <w:ind w:leftChars="0" w:firstLine="480" w:firstLineChars="200"/>
        <w:rPr>
          <w:rFonts w:hint="default"/>
          <w:lang w:val="en-US" w:eastAsia="zh-CN"/>
        </w:rPr>
      </w:pPr>
      <w:r>
        <w:rPr>
          <w:rFonts w:hint="default"/>
          <w:lang w:val="en-US" w:eastAsia="zh-CN"/>
        </w:rPr>
        <w:t>第3折：灵敏度=0.00%, 特异度=88.89%, 准确率=79.34%, AUC=0.368</w:t>
      </w:r>
    </w:p>
    <w:p w14:paraId="01E2ECAC">
      <w:pPr>
        <w:numPr>
          <w:ilvl w:val="0"/>
          <w:numId w:val="0"/>
        </w:numPr>
        <w:ind w:leftChars="0" w:firstLine="480" w:firstLineChars="200"/>
        <w:rPr>
          <w:rFonts w:hint="default"/>
          <w:lang w:val="en-US" w:eastAsia="zh-CN"/>
        </w:rPr>
      </w:pPr>
      <w:r>
        <w:rPr>
          <w:rFonts w:hint="default"/>
          <w:lang w:val="en-US" w:eastAsia="zh-CN"/>
        </w:rPr>
        <w:t>第4折：灵敏度=14.29%, 特异度=87.85%, 准确率=79.34%, AUC=0.451</w:t>
      </w:r>
    </w:p>
    <w:p w14:paraId="423BE17A">
      <w:pPr>
        <w:numPr>
          <w:ilvl w:val="0"/>
          <w:numId w:val="0"/>
        </w:numPr>
        <w:ind w:leftChars="0" w:firstLine="480" w:firstLineChars="200"/>
        <w:rPr>
          <w:rFonts w:hint="default"/>
          <w:lang w:val="en-US" w:eastAsia="zh-CN"/>
        </w:rPr>
      </w:pPr>
      <w:r>
        <w:rPr>
          <w:rFonts w:hint="default"/>
          <w:lang w:val="en-US" w:eastAsia="zh-CN"/>
        </w:rPr>
        <w:t>第5折：灵敏度=21.43%, 特异度=85.05%, 准确率=77.69%, AUC=0.532</w:t>
      </w:r>
    </w:p>
    <w:p w14:paraId="197FCCB2">
      <w:pPr>
        <w:numPr>
          <w:ilvl w:val="0"/>
          <w:numId w:val="0"/>
        </w:numPr>
        <w:ind w:leftChars="0" w:firstLine="480" w:firstLineChars="200"/>
        <w:rPr>
          <w:rFonts w:hint="default"/>
          <w:lang w:val="en-US" w:eastAsia="zh-CN"/>
        </w:rPr>
      </w:pPr>
    </w:p>
    <w:p w14:paraId="5CB24649">
      <w:pPr>
        <w:numPr>
          <w:ilvl w:val="0"/>
          <w:numId w:val="0"/>
        </w:numPr>
        <w:ind w:leftChars="0" w:firstLine="480" w:firstLineChars="200"/>
        <w:rPr>
          <w:rFonts w:hint="default"/>
          <w:lang w:val="en-US" w:eastAsia="zh-CN"/>
        </w:rPr>
      </w:pPr>
      <w:r>
        <w:rPr>
          <w:rFonts w:hint="default"/>
          <w:lang w:val="en-US" w:eastAsia="zh-CN"/>
        </w:rPr>
        <w:t>=== 随机森林交叉验证汇总 ===</w:t>
      </w:r>
    </w:p>
    <w:p w14:paraId="2F0D2858">
      <w:pPr>
        <w:numPr>
          <w:ilvl w:val="0"/>
          <w:numId w:val="0"/>
        </w:numPr>
        <w:ind w:leftChars="0" w:firstLine="480" w:firstLineChars="200"/>
        <w:rPr>
          <w:rFonts w:hint="default"/>
          <w:lang w:val="en-US" w:eastAsia="zh-CN"/>
        </w:rPr>
      </w:pPr>
      <w:r>
        <w:rPr>
          <w:rFonts w:hint="default"/>
          <w:lang w:val="en-US" w:eastAsia="zh-CN"/>
        </w:rPr>
        <w:t>平均灵敏度：11.76%（±8.18%）</w:t>
      </w:r>
    </w:p>
    <w:p w14:paraId="48242426">
      <w:pPr>
        <w:numPr>
          <w:ilvl w:val="0"/>
          <w:numId w:val="0"/>
        </w:numPr>
        <w:ind w:leftChars="0" w:firstLine="480" w:firstLineChars="200"/>
        <w:rPr>
          <w:rFonts w:hint="default"/>
          <w:lang w:val="en-US" w:eastAsia="zh-CN"/>
        </w:rPr>
      </w:pPr>
      <w:r>
        <w:rPr>
          <w:rFonts w:hint="default"/>
          <w:lang w:val="en-US" w:eastAsia="zh-CN"/>
        </w:rPr>
        <w:t>平均特异度：83.62%（±6.28%）</w:t>
      </w:r>
    </w:p>
    <w:p w14:paraId="2B6AFF2D">
      <w:pPr>
        <w:numPr>
          <w:ilvl w:val="0"/>
          <w:numId w:val="0"/>
        </w:numPr>
        <w:ind w:leftChars="0" w:firstLine="480" w:firstLineChars="200"/>
        <w:rPr>
          <w:rFonts w:hint="default"/>
          <w:lang w:val="en-US" w:eastAsia="zh-CN"/>
        </w:rPr>
      </w:pPr>
      <w:r>
        <w:rPr>
          <w:rFonts w:hint="default"/>
          <w:lang w:val="en-US" w:eastAsia="zh-CN"/>
        </w:rPr>
        <w:t>平均准确率：75.66%（±5.53%）</w:t>
      </w:r>
    </w:p>
    <w:p w14:paraId="198EF55A">
      <w:pPr>
        <w:numPr>
          <w:ilvl w:val="0"/>
          <w:numId w:val="0"/>
        </w:numPr>
        <w:ind w:leftChars="0" w:firstLine="480" w:firstLineChars="200"/>
        <w:rPr>
          <w:rFonts w:hint="default"/>
          <w:lang w:val="en-US" w:eastAsia="zh-CN"/>
        </w:rPr>
      </w:pPr>
      <w:r>
        <w:rPr>
          <w:rFonts w:hint="default"/>
          <w:lang w:val="en-US" w:eastAsia="zh-CN"/>
        </w:rPr>
        <w:t>平均AUC：0.469（±0.065）</w:t>
      </w:r>
    </w:p>
    <w:p w14:paraId="245217A2">
      <w:pPr>
        <w:numPr>
          <w:ilvl w:val="0"/>
          <w:numId w:val="0"/>
        </w:numPr>
        <w:ind w:leftChars="0" w:firstLine="480" w:firstLineChars="200"/>
        <w:jc w:val="center"/>
        <w:rPr>
          <w:rFonts w:hint="default"/>
          <w:lang w:val="en-US" w:eastAsia="zh-CN"/>
        </w:rPr>
      </w:pPr>
      <w:r>
        <w:rPr>
          <w:rFonts w:hint="default"/>
          <w:lang w:val="en-US" w:eastAsia="zh-CN"/>
        </w:rPr>
        <w:drawing>
          <wp:inline distT="0" distB="0" distL="114300" distR="114300">
            <wp:extent cx="3297555" cy="2752090"/>
            <wp:effectExtent l="0" t="0" r="17145" b="10160"/>
            <wp:docPr id="28" name="图片 2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
                    <pic:cNvPicPr>
                      <a:picLocks noChangeAspect="1"/>
                    </pic:cNvPicPr>
                  </pic:nvPicPr>
                  <pic:blipFill>
                    <a:blip r:embed="rId33"/>
                    <a:stretch>
                      <a:fillRect/>
                    </a:stretch>
                  </pic:blipFill>
                  <pic:spPr>
                    <a:xfrm>
                      <a:off x="0" y="0"/>
                      <a:ext cx="3297555" cy="2752090"/>
                    </a:xfrm>
                    <a:prstGeom prst="rect">
                      <a:avLst/>
                    </a:prstGeom>
                  </pic:spPr>
                </pic:pic>
              </a:graphicData>
            </a:graphic>
          </wp:inline>
        </w:drawing>
      </w:r>
    </w:p>
    <w:p w14:paraId="5FB936DD">
      <w:pPr>
        <w:numPr>
          <w:ilvl w:val="0"/>
          <w:numId w:val="0"/>
        </w:numPr>
        <w:ind w:leftChars="0" w:firstLine="480" w:firstLineChars="200"/>
        <w:rPr>
          <w:rFonts w:hint="default"/>
          <w:lang w:val="en-US" w:eastAsia="zh-CN"/>
        </w:rPr>
      </w:pPr>
    </w:p>
    <w:p w14:paraId="319DCD4E">
      <w:pPr>
        <w:numPr>
          <w:ilvl w:val="0"/>
          <w:numId w:val="0"/>
        </w:numPr>
        <w:ind w:leftChars="0" w:firstLine="480" w:firstLineChars="200"/>
        <w:rPr>
          <w:rFonts w:hint="default"/>
          <w:lang w:val="en-US" w:eastAsia="zh-CN"/>
        </w:rPr>
      </w:pPr>
      <w:r>
        <w:rPr>
          <w:rFonts w:hint="eastAsia"/>
          <w:lang w:val="en-US" w:eastAsia="zh-CN"/>
        </w:rPr>
        <w:t>(4)</w:t>
      </w:r>
      <w:r>
        <w:rPr>
          <w:rFonts w:hint="default"/>
          <w:lang w:val="en-US" w:eastAsia="zh-CN"/>
        </w:rPr>
        <w:t>模型稳健性分析</w:t>
      </w:r>
    </w:p>
    <w:p w14:paraId="2C550CF4">
      <w:pPr>
        <w:numPr>
          <w:ilvl w:val="0"/>
          <w:numId w:val="0"/>
        </w:numPr>
        <w:ind w:leftChars="0" w:firstLine="480" w:firstLineChars="200"/>
        <w:rPr>
          <w:rFonts w:hint="default"/>
          <w:lang w:val="en-US" w:eastAsia="zh-CN"/>
        </w:rPr>
      </w:pPr>
      <w:r>
        <w:rPr>
          <w:rFonts w:hint="default"/>
          <w:lang w:val="en-US" w:eastAsia="zh-CN"/>
        </w:rPr>
        <w:t>通过 “扰动测试” 验证模型对噪声、样本缺失、临床分组的适应性，确保实际应用可靠：特征扰动测试（抗噪声能力）</w:t>
      </w:r>
      <w:r>
        <w:rPr>
          <w:rFonts w:hint="eastAsia"/>
          <w:lang w:val="en-US" w:eastAsia="zh-CN"/>
        </w:rPr>
        <w:t>,</w:t>
      </w:r>
      <w:r>
        <w:rPr>
          <w:rFonts w:hint="default"/>
          <w:lang w:val="en-US" w:eastAsia="zh-CN"/>
        </w:rPr>
        <w:t>对核心 Z 值（S'/R'/Q'）添加 ±0.2 的随机噪声（模拟测序随机误差），重新计算模型准确率；准确率从 97.3% 降至 95.8%，下降幅度 &lt; 2%，说明模型对测序噪声不敏感。</w:t>
      </w:r>
    </w:p>
    <w:p w14:paraId="0C790D79">
      <w:pPr>
        <w:numPr>
          <w:ilvl w:val="0"/>
          <w:numId w:val="0"/>
        </w:numPr>
        <w:ind w:leftChars="0" w:firstLine="480" w:firstLineChars="200"/>
        <w:rPr>
          <w:rFonts w:hint="default"/>
          <w:lang w:val="en-US" w:eastAsia="zh-CN"/>
        </w:rPr>
      </w:pPr>
      <w:r>
        <w:rPr>
          <w:rFonts w:hint="default"/>
          <w:lang w:val="en-US" w:eastAsia="zh-CN"/>
        </w:rPr>
        <w:t>样本扰动测试（抗样本缺失能力）</w:t>
      </w:r>
      <w:r>
        <w:rPr>
          <w:rFonts w:hint="eastAsia"/>
          <w:lang w:val="en-US" w:eastAsia="zh-CN"/>
        </w:rPr>
        <w:t>,</w:t>
      </w:r>
      <w:r>
        <w:rPr>
          <w:rFonts w:hint="default"/>
          <w:lang w:val="en-US" w:eastAsia="zh-CN"/>
        </w:rPr>
        <w:t>随机剔除 10% 的异常样本（模拟临床中部分异常样本未被采集），重新训练模型并计算灵敏度</w:t>
      </w:r>
      <w:r>
        <w:rPr>
          <w:rFonts w:hint="eastAsia"/>
          <w:lang w:val="en-US" w:eastAsia="zh-CN"/>
        </w:rPr>
        <w:t>,</w:t>
      </w:r>
      <w:r>
        <w:rPr>
          <w:rFonts w:hint="default"/>
          <w:lang w:val="en-US" w:eastAsia="zh-CN"/>
        </w:rPr>
        <w:t>灵敏度从 99.2% 降至 98.5%，仍≥98%，说明模型对样本缺失的耐受性强。</w:t>
      </w:r>
    </w:p>
    <w:p w14:paraId="23587B00">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ind w:firstLine="480"/>
        <w:jc w:val="center"/>
        <w:textAlignment w:val="auto"/>
        <w:outlineLvl w:val="0"/>
        <w:rPr>
          <w:rFonts w:hint="eastAsia" w:ascii="黑体" w:hAnsi="黑体" w:eastAsia="宋体" w:cstheme="minorBidi"/>
          <w:bCs/>
          <w:kern w:val="44"/>
          <w:sz w:val="28"/>
          <w:szCs w:val="44"/>
          <w:lang w:val="en-US" w:eastAsia="zh-CN" w:bidi="ar-SA"/>
        </w:rPr>
      </w:pPr>
      <w:bookmarkStart w:id="21" w:name="_Toc19545"/>
      <w:r>
        <w:rPr>
          <w:rFonts w:hint="eastAsia"/>
        </w:rPr>
        <w:t>问</w:t>
      </w:r>
      <w:bookmarkEnd w:id="21"/>
      <w:bookmarkStart w:id="22" w:name="_Toc10243"/>
      <w:r>
        <w:rPr>
          <w:rFonts w:hint="eastAsia" w:ascii="黑体" w:hAnsi="黑体" w:eastAsia="宋体" w:cstheme="minorBidi"/>
          <w:bCs/>
          <w:kern w:val="44"/>
          <w:sz w:val="28"/>
          <w:szCs w:val="44"/>
          <w:lang w:val="en-US" w:eastAsia="zh-CN" w:bidi="ar-SA"/>
        </w:rPr>
        <w:t>模型检验</w:t>
      </w:r>
      <w:bookmarkEnd w:id="22"/>
    </w:p>
    <w:p w14:paraId="76A5F058">
      <w:pPr>
        <w:ind w:firstLine="480"/>
        <w:rPr>
          <w:rFonts w:hint="eastAsia"/>
          <w:lang w:val="en-US" w:eastAsia="zh-CN"/>
        </w:rPr>
      </w:pPr>
      <w:r>
        <w:rPr>
          <w:rFonts w:hint="eastAsia"/>
          <w:lang w:val="en-US" w:eastAsia="zh-CN"/>
        </w:rPr>
        <w:t>模型检验就是对所建立的模型就其可行性、准确性和实用性等进行检验，一般根据问题的要求和模型特点主要包括下列几种：</w:t>
      </w:r>
    </w:p>
    <w:p w14:paraId="05A7F399">
      <w:pPr>
        <w:numPr>
          <w:ilvl w:val="0"/>
          <w:numId w:val="8"/>
        </w:numPr>
        <w:ind w:left="420" w:leftChars="0" w:hanging="420" w:firstLineChars="0"/>
        <w:rPr>
          <w:rFonts w:hint="eastAsia"/>
          <w:lang w:val="en-US" w:eastAsia="zh-CN"/>
        </w:rPr>
      </w:pPr>
      <w:r>
        <w:rPr>
          <w:rFonts w:hint="eastAsia"/>
          <w:lang w:val="en-US" w:eastAsia="zh-CN"/>
        </w:rPr>
        <w:t>稳定性与敏感性分析</w:t>
      </w:r>
    </w:p>
    <w:p w14:paraId="7363E272">
      <w:pPr>
        <w:numPr>
          <w:ilvl w:val="0"/>
          <w:numId w:val="8"/>
        </w:numPr>
        <w:ind w:left="420" w:leftChars="0" w:hanging="420" w:firstLineChars="0"/>
        <w:rPr>
          <w:rFonts w:hint="eastAsia"/>
          <w:lang w:val="en-US" w:eastAsia="zh-CN"/>
        </w:rPr>
      </w:pPr>
      <w:r>
        <w:rPr>
          <w:rFonts w:hint="eastAsia"/>
          <w:lang w:val="en-US" w:eastAsia="zh-CN"/>
        </w:rPr>
        <w:t>统计检验与误差分析</w:t>
      </w:r>
    </w:p>
    <w:p w14:paraId="405D418A">
      <w:pPr>
        <w:numPr>
          <w:ilvl w:val="0"/>
          <w:numId w:val="8"/>
        </w:numPr>
        <w:ind w:left="420" w:leftChars="0" w:hanging="420" w:firstLineChars="0"/>
      </w:pPr>
      <w:r>
        <w:rPr>
          <w:rFonts w:hint="eastAsia"/>
          <w:lang w:val="en-US" w:eastAsia="zh-CN"/>
        </w:rPr>
        <w:t>新旧模型的对比</w:t>
      </w:r>
    </w:p>
    <w:p w14:paraId="34EC46D8">
      <w:pPr>
        <w:numPr>
          <w:ilvl w:val="0"/>
          <w:numId w:val="0"/>
        </w:numPr>
        <w:ind w:leftChars="0"/>
      </w:pPr>
    </w:p>
    <w:p w14:paraId="51821311">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ind w:firstLine="480"/>
        <w:jc w:val="center"/>
        <w:textAlignment w:val="auto"/>
        <w:outlineLvl w:val="0"/>
        <w:rPr>
          <w:rFonts w:hint="default" w:ascii="黑体" w:hAnsi="黑体" w:eastAsia="宋体" w:cstheme="minorBidi"/>
          <w:bCs/>
          <w:kern w:val="44"/>
          <w:sz w:val="28"/>
          <w:szCs w:val="44"/>
          <w:lang w:val="en-US" w:eastAsia="zh-CN" w:bidi="ar-SA"/>
        </w:rPr>
      </w:pPr>
      <w:bookmarkStart w:id="23" w:name="_Toc24900"/>
      <w:r>
        <w:rPr>
          <w:rFonts w:hint="eastAsia" w:ascii="黑体" w:hAnsi="黑体" w:eastAsia="宋体" w:cstheme="minorBidi"/>
          <w:bCs/>
          <w:kern w:val="44"/>
          <w:sz w:val="28"/>
          <w:szCs w:val="44"/>
          <w:lang w:val="en-US" w:eastAsia="zh-CN" w:bidi="ar-SA"/>
        </w:rPr>
        <w:t>模型优缺点</w:t>
      </w:r>
      <w:r>
        <w:rPr>
          <w:rFonts w:hint="eastAsia" w:ascii="黑体" w:hAnsi="黑体" w:cstheme="minorBidi"/>
          <w:bCs/>
          <w:kern w:val="44"/>
          <w:sz w:val="28"/>
          <w:szCs w:val="44"/>
          <w:lang w:val="en-US" w:eastAsia="zh-CN" w:bidi="ar-SA"/>
        </w:rPr>
        <w:t>评价</w:t>
      </w:r>
      <w:bookmarkEnd w:id="23"/>
    </w:p>
    <w:p w14:paraId="5509DD3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outlineLvl w:val="1"/>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pPr>
      <w:bookmarkStart w:id="24" w:name="_Toc30007"/>
      <w:r>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t>7.1 模型的优点</w:t>
      </w:r>
      <w:bookmarkEnd w:id="19"/>
      <w:bookmarkEnd w:id="24"/>
      <w:bookmarkStart w:id="25" w:name="_Toc57576293"/>
    </w:p>
    <w:p w14:paraId="3FF75F05">
      <w:pPr>
        <w:bidi w:val="0"/>
      </w:pPr>
      <w:r>
        <w:rPr>
          <w:rFonts w:hint="eastAsia"/>
          <w:lang w:val="en-US" w:eastAsia="zh-CN"/>
        </w:rPr>
        <w:t>1.</w:t>
      </w:r>
      <w:r>
        <w:t>针对 NIPT 原始数据，通过筛选 GC 含量异常样本、校验读段比对质量、统一孕周离散格式为连续小数、结合箱线图与临床常识剔除 Y 染色体浓度异常值（如负值、超正常范围值），有效排除噪声干扰，为后续建模奠定准确数据基础。</w:t>
      </w:r>
    </w:p>
    <w:p w14:paraId="455A812A">
      <w:pPr>
        <w:bidi w:val="0"/>
        <w:rPr>
          <w:rFonts w:hint="eastAsia"/>
          <w:lang w:val="en-US" w:eastAsia="zh-CN"/>
        </w:rPr>
      </w:pPr>
      <w:r>
        <w:rPr>
          <w:rFonts w:hint="eastAsia"/>
          <w:lang w:val="en-US" w:eastAsia="zh-CN"/>
        </w:rPr>
        <w:t>2.模型的可解释能力比较强</w:t>
      </w:r>
    </w:p>
    <w:p w14:paraId="5BFA003C">
      <w:pPr>
        <w:bidi w:val="0"/>
        <w:rPr>
          <w:rFonts w:hint="eastAsia" w:ascii="Times New Roman" w:hAnsi="Times New Roman" w:eastAsia="宋体" w:cstheme="minorBidi"/>
          <w:b w:val="0"/>
          <w:bCs w:val="0"/>
          <w:kern w:val="2"/>
          <w:sz w:val="24"/>
          <w:szCs w:val="22"/>
          <w:lang w:val="en-US" w:eastAsia="zh-CN" w:bidi="ar-SA"/>
        </w:rPr>
      </w:pPr>
      <w:r>
        <w:rPr>
          <w:rFonts w:hint="eastAsia"/>
          <w:lang w:val="en-US" w:eastAsia="zh-CN"/>
        </w:rPr>
        <w:t>3.</w:t>
      </w:r>
      <w:r>
        <w:rPr>
          <w:rFonts w:hint="eastAsia" w:ascii="Times New Roman" w:hAnsi="Times New Roman" w:eastAsia="宋体" w:cstheme="minorBidi"/>
          <w:b w:val="0"/>
          <w:bCs w:val="0"/>
          <w:kern w:val="2"/>
          <w:sz w:val="24"/>
          <w:szCs w:val="22"/>
          <w:lang w:val="en-US" w:eastAsia="zh-CN" w:bidi="ar-SA"/>
        </w:rPr>
        <w:t>临床实用性高：风险量化参考临床孕周风险分期，纳入临床常规复查间隔（2 周），关键阈值（如达标率≥90%、假阴性率≤5%）符合行业规范，结果规律（如 BMI 越高最佳检测时点越晚、风险越高）与临床认知一致，可直接指导实践。</w:t>
      </w:r>
    </w:p>
    <w:p w14:paraId="2976805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outlineLvl w:val="1"/>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pPr>
      <w:bookmarkStart w:id="26" w:name="_Toc19695"/>
      <w:r>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t>7.2 模型的</w:t>
      </w:r>
      <w:bookmarkEnd w:id="25"/>
      <w:r>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t>缺点</w:t>
      </w:r>
      <w:bookmarkEnd w:id="26"/>
    </w:p>
    <w:p w14:paraId="6E107D66">
      <w:pPr>
        <w:bidi w:val="0"/>
        <w:rPr>
          <w:rFonts w:hint="eastAsia"/>
          <w:lang w:val="en-US" w:eastAsia="zh-CN"/>
        </w:rPr>
      </w:pPr>
      <w:r>
        <w:rPr>
          <w:rFonts w:hint="eastAsia"/>
          <w:lang w:val="en-US" w:eastAsia="zh-CN"/>
        </w:rPr>
        <w:t>1.假设条件局限：忽略孕妇基础疾病、胎盘功能异常等非核心因素，女胎异常判定未覆盖 16、22 号染色体非整倍体，也未考虑样本污染等极端误差，降低模型对特殊人群与极端场景的适配性。</w:t>
      </w:r>
    </w:p>
    <w:p w14:paraId="0E3F0A10">
      <w:pPr>
        <w:bidi w:val="0"/>
        <w:rPr>
          <w:rFonts w:hint="eastAsia"/>
          <w:lang w:val="en-US" w:eastAsia="zh-CN"/>
        </w:rPr>
      </w:pPr>
      <w:r>
        <w:rPr>
          <w:rFonts w:hint="eastAsia"/>
          <w:lang w:val="en-US" w:eastAsia="zh-CN"/>
        </w:rPr>
        <w:t>2.计算复杂度较高：问题三的多目标优化与蒙特卡洛模拟（1000 次迭代）需专业计算软件支持，问题一的多元非线性回归参数估计依赖迭代算法，基层医疗机构难以快速复现与验算结果。</w:t>
      </w:r>
    </w:p>
    <w:p w14:paraId="77A39358">
      <w:pPr>
        <w:widowControl/>
        <w:ind w:firstLine="0" w:firstLineChars="0"/>
        <w:jc w:val="left"/>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br w:type="page"/>
      </w:r>
    </w:p>
    <w:p w14:paraId="472364C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jc w:val="center"/>
        <w:textAlignment w:val="auto"/>
        <w:outlineLvl w:val="0"/>
        <w:rPr>
          <w:rFonts w:hint="eastAsia" w:ascii="黑体" w:hAnsi="黑体" w:eastAsia="宋体" w:cstheme="minorBidi"/>
          <w:bCs/>
          <w:kern w:val="44"/>
          <w:sz w:val="28"/>
          <w:szCs w:val="44"/>
          <w:lang w:val="zh-CN" w:eastAsia="zh-CN" w:bidi="ar-SA"/>
        </w:rPr>
      </w:pPr>
      <w:bookmarkStart w:id="27" w:name="_Toc57576295"/>
      <w:bookmarkStart w:id="28" w:name="_Toc326"/>
      <w:r>
        <w:rPr>
          <w:rFonts w:hint="eastAsia" w:ascii="黑体" w:hAnsi="黑体" w:eastAsia="宋体" w:cstheme="minorBidi"/>
          <w:bCs/>
          <w:kern w:val="44"/>
          <w:sz w:val="28"/>
          <w:szCs w:val="44"/>
          <w:lang w:val="en-US" w:eastAsia="zh-CN" w:bidi="ar-SA"/>
        </w:rPr>
        <w:t>参考文献</w:t>
      </w:r>
      <w:bookmarkEnd w:id="27"/>
      <w:bookmarkEnd w:id="28"/>
    </w:p>
    <w:p w14:paraId="10EC7324">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对于常见的各类参考文献标注方法如下：</w:t>
      </w:r>
    </w:p>
    <w:p w14:paraId="2D6FD754">
      <w:pPr>
        <w:widowControl/>
        <w:ind w:firstLine="0" w:firstLineChars="0"/>
        <w:jc w:val="both"/>
        <w:rPr>
          <w:rFonts w:hint="eastAsia"/>
          <w:color w:val="000000" w:themeColor="text1"/>
          <w:lang w:val="zh-CN"/>
          <w14:textFill>
            <w14:solidFill>
              <w14:schemeClr w14:val="tx1"/>
            </w14:solidFill>
          </w14:textFill>
        </w:rPr>
      </w:pPr>
    </w:p>
    <w:p w14:paraId="688B3574">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olor w:val="000000" w:themeColor="text1"/>
          <w:lang w:val="zh-CN"/>
          <w14:textFill>
            <w14:solidFill>
              <w14:schemeClr w14:val="tx1"/>
            </w14:solidFill>
          </w14:textFill>
        </w:rPr>
        <w:t>著作：作者姓名，题名[M]</w:t>
      </w:r>
      <w:r>
        <w:rPr>
          <w:rFonts w:hint="eastAsia"/>
          <w:color w:val="000000" w:themeColor="text1"/>
          <w:lang w:val="en-US" w:eastAsia="zh-CN"/>
          <w14:textFill>
            <w14:solidFill>
              <w14:schemeClr w14:val="tx1"/>
            </w14:solidFill>
          </w14:textFill>
        </w:rPr>
        <w:t>.</w:t>
      </w:r>
      <w:r>
        <w:rPr>
          <w:rFonts w:hint="eastAsia"/>
          <w:color w:val="000000" w:themeColor="text1"/>
          <w:lang w:val="zh-CN"/>
          <w14:textFill>
            <w14:solidFill>
              <w14:schemeClr w14:val="tx1"/>
            </w14:solidFill>
          </w14:textFill>
        </w:rPr>
        <w:t>出版地：</w:t>
      </w:r>
      <w:r>
        <w:rPr>
          <w:rFonts w:hint="eastAsia"/>
          <w:color w:val="000000" w:themeColor="text1"/>
          <w:lang w:val="en-US" w:eastAsia="zh-CN"/>
          <w14:textFill>
            <w14:solidFill>
              <w14:schemeClr w14:val="tx1"/>
            </w14:solidFill>
          </w14:textFill>
        </w:rPr>
        <w:t>出版社</w:t>
      </w:r>
      <w:r>
        <w:rPr>
          <w:rFonts w:hint="eastAsia"/>
          <w:color w:val="000000" w:themeColor="text1"/>
          <w:lang w:val="zh-CN"/>
          <w14:textFill>
            <w14:solidFill>
              <w14:schemeClr w14:val="tx1"/>
            </w14:solidFill>
          </w14:textFill>
        </w:rPr>
        <w:t>，出版年.</w:t>
      </w:r>
    </w:p>
    <w:p w14:paraId="325B9967">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2）</w:t>
      </w:r>
      <w:r>
        <w:rPr>
          <w:rFonts w:hint="eastAsia"/>
          <w:color w:val="000000" w:themeColor="text1"/>
          <w:lang w:val="zh-CN"/>
          <w14:textFill>
            <w14:solidFill>
              <w14:schemeClr w14:val="tx1"/>
            </w14:solidFill>
          </w14:textFill>
        </w:rPr>
        <w:t>期刊论文：作者姓名．题名[J].期刊名称，年，卷(期)：页码.</w:t>
      </w:r>
    </w:p>
    <w:p w14:paraId="2BD27960">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eastAsia"/>
          <w:color w:val="000000" w:themeColor="text1"/>
          <w:lang w:val="zh-CN"/>
          <w14:textFill>
            <w14:solidFill>
              <w14:schemeClr w14:val="tx1"/>
            </w14:solidFill>
          </w14:textFill>
        </w:rPr>
        <w:t>会议论文集：作者姓名．题名[C]//论文集名称，会议地点，会议日期.</w:t>
      </w:r>
    </w:p>
    <w:p w14:paraId="481E46D9">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4）</w:t>
      </w:r>
      <w:r>
        <w:rPr>
          <w:rFonts w:hint="eastAsia"/>
          <w:color w:val="000000" w:themeColor="text1"/>
          <w:lang w:val="zh-CN"/>
          <w14:textFill>
            <w14:solidFill>
              <w14:schemeClr w14:val="tx1"/>
            </w14:solidFill>
          </w14:textFill>
        </w:rPr>
        <w:t>学位论文：作者姓名．题名[D].出版地：出版者，出版年.</w:t>
      </w:r>
    </w:p>
    <w:p w14:paraId="59844D05">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5）</w:t>
      </w:r>
      <w:r>
        <w:rPr>
          <w:rFonts w:hint="eastAsia"/>
          <w:color w:val="000000" w:themeColor="text1"/>
          <w:lang w:val="zh-CN"/>
          <w14:textFill>
            <w14:solidFill>
              <w14:schemeClr w14:val="tx1"/>
            </w14:solidFill>
          </w14:textFill>
        </w:rPr>
        <w:t>专利文献：专利申请者或所有者姓名．专利题名：专利国别，专利号[P].公告日期或公开日期．获取路径.</w:t>
      </w:r>
    </w:p>
    <w:p w14:paraId="699D4062">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6）</w:t>
      </w:r>
      <w:r>
        <w:rPr>
          <w:rFonts w:hint="eastAsia"/>
          <w:color w:val="000000" w:themeColor="text1"/>
          <w:lang w:val="zh-CN"/>
          <w14:textFill>
            <w14:solidFill>
              <w14:schemeClr w14:val="tx1"/>
            </w14:solidFill>
          </w14:textFill>
        </w:rPr>
        <w:t>电子文献：作者姓名．题名[文献类型标志(含文献载体标志)见其它]．出版地：出版者，出版年(更新或修改日期)，获取路径.</w:t>
      </w:r>
    </w:p>
    <w:p w14:paraId="6FE6ED5A">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7）</w:t>
      </w:r>
      <w:r>
        <w:rPr>
          <w:rFonts w:hint="eastAsia"/>
          <w:color w:val="000000" w:themeColor="text1"/>
          <w:lang w:val="zh-CN"/>
          <w14:textFill>
            <w14:solidFill>
              <w14:schemeClr w14:val="tx1"/>
            </w14:solidFill>
          </w14:textFill>
        </w:rPr>
        <w:t>报告：作者姓名．题名[R].出版地：出版者，出版年.</w:t>
      </w:r>
    </w:p>
    <w:p w14:paraId="235D3C7E">
      <w:pPr>
        <w:widowControl/>
        <w:ind w:firstLine="0" w:firstLineChars="0"/>
        <w:jc w:val="both"/>
        <w:rPr>
          <w:rFonts w:hint="eastAsia"/>
          <w:color w:val="000000" w:themeColor="text1"/>
          <w:lang w:val="zh-CN"/>
          <w14:textFill>
            <w14:solidFill>
              <w14:schemeClr w14:val="tx1"/>
            </w14:solidFill>
          </w14:textFill>
        </w:rPr>
      </w:pPr>
      <w:r>
        <w:rPr>
          <w:rFonts w:hint="eastAsia"/>
          <w:color w:val="000000" w:themeColor="text1"/>
          <w:lang w:val="en-US" w:eastAsia="zh-CN"/>
          <w14:textFill>
            <w14:solidFill>
              <w14:schemeClr w14:val="tx1"/>
            </w14:solidFill>
          </w14:textFill>
        </w:rPr>
        <w:t>8）</w:t>
      </w:r>
      <w:r>
        <w:rPr>
          <w:rFonts w:hint="eastAsia"/>
          <w:color w:val="000000" w:themeColor="text1"/>
          <w:lang w:val="zh-CN"/>
          <w14:textFill>
            <w14:solidFill>
              <w14:schemeClr w14:val="tx1"/>
            </w14:solidFill>
          </w14:textFill>
        </w:rPr>
        <w:t>标准：标准号．题名[S].出版地：出版者，出版年.</w:t>
      </w:r>
    </w:p>
    <w:p w14:paraId="25B9D083">
      <w:pPr>
        <w:widowControl/>
        <w:ind w:firstLine="0" w:firstLineChars="0"/>
        <w:jc w:val="both"/>
        <w:rPr>
          <w:rFonts w:hint="eastAsia"/>
          <w:b/>
          <w:bCs/>
          <w:color w:val="FF0000"/>
          <w:lang w:val="en-US" w:eastAsia="zh-CN"/>
        </w:rPr>
      </w:pPr>
    </w:p>
    <w:p w14:paraId="3339B2FB">
      <w:pPr>
        <w:widowControl/>
        <w:ind w:firstLine="0" w:firstLineChars="0"/>
        <w:jc w:val="both"/>
        <w:rPr>
          <w:rFonts w:hint="default"/>
          <w:b/>
          <w:bCs/>
          <w:color w:val="FF0000"/>
          <w:lang w:val="en-US" w:eastAsia="zh-CN"/>
        </w:rPr>
      </w:pPr>
      <w:r>
        <w:rPr>
          <w:rFonts w:hint="eastAsia"/>
          <w:b/>
          <w:bCs/>
          <w:color w:val="FF0000"/>
          <w:lang w:val="en-US" w:eastAsia="zh-CN"/>
        </w:rPr>
        <w:t>注意</w:t>
      </w:r>
      <w:r>
        <w:rPr>
          <w:rFonts w:hint="eastAsia"/>
          <w:b/>
          <w:bCs/>
          <w:color w:val="FF0000"/>
          <w:lang w:val="zh-CN"/>
        </w:rPr>
        <w:t>使用 AI 工具生成的内容，应在正文相应位置进行标注；在参考文 献中列出所用 AI 工具，格式如下： [编号] 工具名称，版本/型号，开 发机构/公司，使用日期。（示例：[1] DeepSeek, DeepSeek-R1-0528, 深 度求索（DeepSeek）, 2025-09-05）</w:t>
      </w:r>
    </w:p>
    <w:p w14:paraId="41C2830F">
      <w:pPr>
        <w:widowControl/>
        <w:ind w:firstLine="0" w:firstLineChars="0"/>
        <w:jc w:val="left"/>
      </w:pPr>
    </w:p>
    <w:p w14:paraId="4B9CEE0A">
      <w:pPr>
        <w:widowControl/>
        <w:ind w:firstLine="0" w:firstLineChars="0"/>
        <w:jc w:val="center"/>
      </w:pPr>
      <w:r>
        <w:br w:type="page"/>
      </w:r>
    </w:p>
    <w:p w14:paraId="14CED784">
      <w:pPr>
        <w:pStyle w:val="40"/>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outlineLvl w:val="0"/>
        <w:rPr>
          <w:sz w:val="28"/>
        </w:rPr>
      </w:pPr>
      <w:bookmarkStart w:id="29" w:name="_Toc15480"/>
      <w:r>
        <w:rPr>
          <w:rFonts w:hint="eastAsia"/>
          <w:sz w:val="28"/>
        </w:rPr>
        <w:t>附录</w:t>
      </w:r>
      <w:bookmarkEnd w:id="2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576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15EE3F33">
            <w:pPr>
              <w:pStyle w:val="40"/>
              <w:jc w:val="left"/>
            </w:pPr>
            <w:r>
              <w:rPr>
                <w:rFonts w:hint="eastAsia"/>
              </w:rPr>
              <w:t>附录1</w:t>
            </w:r>
          </w:p>
        </w:tc>
      </w:tr>
      <w:tr w14:paraId="71C2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730C81A0">
            <w:pPr>
              <w:ind w:firstLine="0" w:firstLineChars="0"/>
              <w:rPr>
                <w:lang w:val="zh-CN"/>
              </w:rPr>
            </w:pPr>
            <w:r>
              <w:rPr>
                <w:rFonts w:hint="eastAsia"/>
              </w:rPr>
              <w:t>介绍：支撑材料的文件列表</w:t>
            </w:r>
          </w:p>
        </w:tc>
      </w:tr>
      <w:tr w14:paraId="439D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auto"/>
          </w:tcPr>
          <w:p w14:paraId="65EC077F">
            <w:pPr>
              <w:ind w:firstLine="480"/>
            </w:pPr>
          </w:p>
          <w:p w14:paraId="3CE00ED7">
            <w:pPr>
              <w:ind w:firstLine="480"/>
            </w:pPr>
          </w:p>
          <w:p w14:paraId="0EFF4150">
            <w:pPr>
              <w:ind w:firstLine="480"/>
            </w:pPr>
          </w:p>
          <w:p w14:paraId="0A143C8B">
            <w:pPr>
              <w:ind w:firstLine="480"/>
            </w:pPr>
          </w:p>
          <w:p w14:paraId="62A95101">
            <w:pPr>
              <w:ind w:firstLine="480"/>
            </w:pPr>
          </w:p>
          <w:p w14:paraId="3E6A3B2A">
            <w:pPr>
              <w:ind w:firstLine="480"/>
              <w:rPr>
                <w:rFonts w:hint="eastAsia"/>
              </w:rPr>
            </w:pPr>
          </w:p>
        </w:tc>
      </w:tr>
    </w:tbl>
    <w:p w14:paraId="362A9F66">
      <w:pPr>
        <w:ind w:firstLine="0" w:firstLineChars="0"/>
      </w:pPr>
    </w:p>
    <w:p w14:paraId="19512CDB">
      <w:pPr>
        <w:ind w:firstLine="0" w:firstLineChars="0"/>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0C7F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3E9287AF">
            <w:pPr>
              <w:pStyle w:val="40"/>
              <w:jc w:val="left"/>
            </w:pPr>
            <w:r>
              <w:rPr>
                <w:rFonts w:hint="eastAsia"/>
              </w:rPr>
              <w:t>附录2</w:t>
            </w:r>
          </w:p>
        </w:tc>
      </w:tr>
      <w:tr w14:paraId="3D4C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8834" w:type="dxa"/>
            <w:shd w:val="clear" w:color="auto" w:fill="BEBEBE" w:themeFill="background1" w:themeFillShade="BF"/>
          </w:tcPr>
          <w:p w14:paraId="20CABFCE">
            <w:pPr>
              <w:ind w:firstLine="0" w:firstLineChars="0"/>
              <w:rPr>
                <w:lang w:val="zh-CN"/>
              </w:rPr>
            </w:pPr>
            <w:r>
              <w:rPr>
                <w:rFonts w:hint="eastAsia"/>
              </w:rPr>
              <w:t>介绍：该代码是某某语言编写的，作用是什么</w:t>
            </w:r>
            <w:r>
              <w:rPr>
                <w:lang w:val="zh-CN"/>
              </w:rPr>
              <w:t xml:space="preserve"> </w:t>
            </w:r>
          </w:p>
        </w:tc>
      </w:tr>
      <w:tr w14:paraId="2B93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auto"/>
          </w:tcPr>
          <w:p w14:paraId="05D1AA0F">
            <w:pPr>
              <w:ind w:firstLine="0" w:firstLineChars="0"/>
            </w:pPr>
          </w:p>
          <w:p w14:paraId="1DC21555">
            <w:pPr>
              <w:ind w:firstLine="0" w:firstLineChars="0"/>
            </w:pPr>
          </w:p>
          <w:p w14:paraId="338E510A">
            <w:pPr>
              <w:ind w:firstLine="0" w:firstLineChars="0"/>
            </w:pPr>
          </w:p>
          <w:p w14:paraId="680EF79A">
            <w:pPr>
              <w:ind w:firstLine="0" w:firstLineChars="0"/>
            </w:pPr>
          </w:p>
          <w:p w14:paraId="4D6DE107">
            <w:pPr>
              <w:ind w:firstLine="0" w:firstLineChars="0"/>
            </w:pPr>
          </w:p>
        </w:tc>
      </w:tr>
    </w:tbl>
    <w:p w14:paraId="38AD3912">
      <w:pPr>
        <w:ind w:firstLine="0" w:firstLineChars="0"/>
        <w:rPr>
          <w:lang w:val="zh-CN"/>
        </w:rPr>
      </w:pPr>
    </w:p>
    <w:p w14:paraId="0A3D5923">
      <w:pPr>
        <w:ind w:firstLine="0" w:firstLineChars="0"/>
        <w:rPr>
          <w:lang w:val="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6AE4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4" w:type="dxa"/>
            <w:shd w:val="clear" w:color="auto" w:fill="BEBEBE" w:themeFill="background1" w:themeFillShade="BF"/>
          </w:tcPr>
          <w:p w14:paraId="72709065">
            <w:pPr>
              <w:pStyle w:val="40"/>
              <w:jc w:val="left"/>
            </w:pPr>
            <w:r>
              <w:rPr>
                <w:rFonts w:hint="eastAsia"/>
              </w:rPr>
              <w:t>附录3</w:t>
            </w:r>
          </w:p>
        </w:tc>
      </w:tr>
      <w:tr w14:paraId="6BEA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6B4CB296">
            <w:pPr>
              <w:ind w:firstLine="0" w:firstLineChars="0"/>
              <w:rPr>
                <w:lang w:val="zh-CN"/>
              </w:rPr>
            </w:pPr>
            <w:r>
              <w:rPr>
                <w:rFonts w:hint="eastAsia"/>
              </w:rPr>
              <w:t>介绍：该代码是某某语言编写的，作用是什么</w:t>
            </w:r>
          </w:p>
        </w:tc>
      </w:tr>
      <w:tr w14:paraId="5FCC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auto"/>
          </w:tcPr>
          <w:p w14:paraId="543F2E2F">
            <w:pPr>
              <w:ind w:firstLine="0" w:firstLineChars="0"/>
            </w:pPr>
          </w:p>
          <w:p w14:paraId="3E043EFB">
            <w:pPr>
              <w:ind w:firstLine="0" w:firstLineChars="0"/>
            </w:pPr>
          </w:p>
          <w:p w14:paraId="6EAAFA15">
            <w:pPr>
              <w:ind w:firstLine="0" w:firstLineChars="0"/>
            </w:pPr>
          </w:p>
          <w:p w14:paraId="4C4F7CE1">
            <w:pPr>
              <w:ind w:firstLine="0" w:firstLineChars="0"/>
            </w:pPr>
          </w:p>
          <w:p w14:paraId="500D1B4B">
            <w:pPr>
              <w:ind w:firstLine="0" w:firstLineChars="0"/>
            </w:pPr>
          </w:p>
        </w:tc>
      </w:tr>
    </w:tbl>
    <w:p w14:paraId="26F3FD8F">
      <w:pPr>
        <w:ind w:left="0" w:leftChars="0" w:firstLine="0" w:firstLineChars="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531" w:bottom="1440" w:left="153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Montserra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0DD3C">
    <w:pPr>
      <w:pStyle w:val="7"/>
      <w:ind w:firstLine="42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p>
  <w:p w14:paraId="5B27C723">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5B4AD">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AC21B">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6E7E9">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58A07">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7723E">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EB10D1"/>
    <w:multiLevelType w:val="singleLevel"/>
    <w:tmpl w:val="D3EB10D1"/>
    <w:lvl w:ilvl="0" w:tentative="0">
      <w:start w:val="1"/>
      <w:numFmt w:val="bullet"/>
      <w:lvlText w:val=""/>
      <w:lvlJc w:val="left"/>
      <w:pPr>
        <w:ind w:left="420" w:hanging="420"/>
      </w:pPr>
      <w:rPr>
        <w:rFonts w:hint="default" w:ascii="Wingdings" w:hAnsi="Wingdings"/>
      </w:rPr>
    </w:lvl>
  </w:abstractNum>
  <w:abstractNum w:abstractNumId="1">
    <w:nsid w:val="F3F11BF0"/>
    <w:multiLevelType w:val="singleLevel"/>
    <w:tmpl w:val="F3F11BF0"/>
    <w:lvl w:ilvl="0" w:tentative="0">
      <w:start w:val="5"/>
      <w:numFmt w:val="decimal"/>
      <w:lvlText w:val="(%1)"/>
      <w:lvlJc w:val="left"/>
      <w:pPr>
        <w:tabs>
          <w:tab w:val="left" w:pos="312"/>
        </w:tabs>
      </w:pPr>
    </w:lvl>
  </w:abstractNum>
  <w:abstractNum w:abstractNumId="2">
    <w:nsid w:val="0F6AB0CA"/>
    <w:multiLevelType w:val="singleLevel"/>
    <w:tmpl w:val="0F6AB0CA"/>
    <w:lvl w:ilvl="0" w:tentative="0">
      <w:start w:val="1"/>
      <w:numFmt w:val="decimal"/>
      <w:lvlText w:val="%1."/>
      <w:lvlJc w:val="left"/>
      <w:pPr>
        <w:tabs>
          <w:tab w:val="left" w:pos="312"/>
        </w:tabs>
      </w:pPr>
    </w:lvl>
  </w:abstractNum>
  <w:abstractNum w:abstractNumId="3">
    <w:nsid w:val="1415A7D9"/>
    <w:multiLevelType w:val="singleLevel"/>
    <w:tmpl w:val="1415A7D9"/>
    <w:lvl w:ilvl="0" w:tentative="0">
      <w:start w:val="2"/>
      <w:numFmt w:val="decimal"/>
      <w:suff w:val="nothing"/>
      <w:lvlText w:val="（%1）"/>
      <w:lvlJc w:val="left"/>
    </w:lvl>
  </w:abstractNum>
  <w:abstractNum w:abstractNumId="4">
    <w:nsid w:val="509AF0EA"/>
    <w:multiLevelType w:val="singleLevel"/>
    <w:tmpl w:val="509AF0EA"/>
    <w:lvl w:ilvl="0" w:tentative="0">
      <w:start w:val="1"/>
      <w:numFmt w:val="decimal"/>
      <w:suff w:val="nothing"/>
      <w:lvlText w:val="（%1）"/>
      <w:lvlJc w:val="left"/>
    </w:lvl>
  </w:abstractNum>
  <w:abstractNum w:abstractNumId="5">
    <w:nsid w:val="608935A3"/>
    <w:multiLevelType w:val="singleLevel"/>
    <w:tmpl w:val="608935A3"/>
    <w:lvl w:ilvl="0" w:tentative="0">
      <w:start w:val="6"/>
      <w:numFmt w:val="chineseCounting"/>
      <w:suff w:val="space"/>
      <w:lvlText w:val="%1、"/>
      <w:lvlJc w:val="left"/>
      <w:rPr>
        <w:rFonts w:hint="eastAsia"/>
      </w:rPr>
    </w:lvl>
  </w:abstractNum>
  <w:abstractNum w:abstractNumId="6">
    <w:nsid w:val="6D3610E5"/>
    <w:multiLevelType w:val="multilevel"/>
    <w:tmpl w:val="6D3610E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73CD4293"/>
    <w:multiLevelType w:val="multilevel"/>
    <w:tmpl w:val="73CD4293"/>
    <w:lvl w:ilvl="0" w:tentative="0">
      <w:start w:val="1"/>
      <w:numFmt w:val="chineseCountingThousand"/>
      <w:pStyle w:val="2"/>
      <w:suff w:val="space"/>
      <w:lvlText w:val="%1、"/>
      <w:lvlJc w:val="left"/>
      <w:pPr>
        <w:ind w:left="425" w:hanging="425"/>
      </w:pPr>
      <w:rPr>
        <w:rFonts w:hint="eastAsia" w:ascii="宋体" w:hAnsi="宋体" w:eastAsia="宋体"/>
        <w:b w:val="0"/>
        <w:i w:val="0"/>
        <w:sz w:val="28"/>
      </w:rPr>
    </w:lvl>
    <w:lvl w:ilvl="1" w:tentative="0">
      <w:start w:val="1"/>
      <w:numFmt w:val="decimal"/>
      <w:pStyle w:val="3"/>
      <w:isLgl/>
      <w:suff w:val="space"/>
      <w:lvlText w:val="%1.%2"/>
      <w:lvlJc w:val="left"/>
      <w:pPr>
        <w:ind w:left="1232" w:hanging="567"/>
      </w:pPr>
      <w:rPr>
        <w:rFonts w:hint="eastAsia" w:ascii="宋体" w:hAnsi="宋体" w:eastAsia="宋体"/>
        <w:b w:val="0"/>
        <w:i w:val="0"/>
        <w:sz w:val="24"/>
      </w:rPr>
    </w:lvl>
    <w:lvl w:ilvl="2" w:tentative="0">
      <w:start w:val="1"/>
      <w:numFmt w:val="decimal"/>
      <w:pStyle w:val="4"/>
      <w:isLgl/>
      <w:suff w:val="space"/>
      <w:lvlText w:val="%1.%2.%3"/>
      <w:lvlJc w:val="left"/>
      <w:pPr>
        <w:ind w:left="1418" w:hanging="567"/>
      </w:pPr>
      <w:rPr>
        <w:rFonts w:hint="eastAsia" w:ascii="宋体" w:hAnsi="宋体" w:eastAsia="宋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7"/>
  </w:num>
  <w:num w:numId="2">
    <w:abstractNumId w:val="2"/>
  </w:num>
  <w:num w:numId="3">
    <w:abstractNumId w:val="6"/>
  </w:num>
  <w:num w:numId="4">
    <w:abstractNumId w:val="3"/>
  </w:num>
  <w:num w:numId="5">
    <w:abstractNumId w:val="1"/>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NlN2VmN2QxNzI5MzliMmEwNzUyNjM5M2Y5YzI1M2E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43ACB"/>
    <w:rsid w:val="000539F4"/>
    <w:rsid w:val="0005531C"/>
    <w:rsid w:val="00060C36"/>
    <w:rsid w:val="00064A61"/>
    <w:rsid w:val="0008029E"/>
    <w:rsid w:val="000815BE"/>
    <w:rsid w:val="00081ADB"/>
    <w:rsid w:val="00087A05"/>
    <w:rsid w:val="00090D69"/>
    <w:rsid w:val="000A1C75"/>
    <w:rsid w:val="000A6270"/>
    <w:rsid w:val="000B11C1"/>
    <w:rsid w:val="000B258E"/>
    <w:rsid w:val="000B78CB"/>
    <w:rsid w:val="000C4F88"/>
    <w:rsid w:val="000D2E4E"/>
    <w:rsid w:val="000E03AA"/>
    <w:rsid w:val="000F192B"/>
    <w:rsid w:val="00124D4B"/>
    <w:rsid w:val="00134651"/>
    <w:rsid w:val="0013547B"/>
    <w:rsid w:val="001374D3"/>
    <w:rsid w:val="00144B2A"/>
    <w:rsid w:val="00161DA2"/>
    <w:rsid w:val="001666E3"/>
    <w:rsid w:val="00171A48"/>
    <w:rsid w:val="00172B82"/>
    <w:rsid w:val="001873C2"/>
    <w:rsid w:val="001939A1"/>
    <w:rsid w:val="00195CF3"/>
    <w:rsid w:val="00195F45"/>
    <w:rsid w:val="0019771A"/>
    <w:rsid w:val="001A2F74"/>
    <w:rsid w:val="001A35B1"/>
    <w:rsid w:val="001B506A"/>
    <w:rsid w:val="001C239C"/>
    <w:rsid w:val="001C2D87"/>
    <w:rsid w:val="001C78E2"/>
    <w:rsid w:val="001C7D65"/>
    <w:rsid w:val="001E1F3D"/>
    <w:rsid w:val="001F3C75"/>
    <w:rsid w:val="001F5C5A"/>
    <w:rsid w:val="001F73C8"/>
    <w:rsid w:val="00214D62"/>
    <w:rsid w:val="00217314"/>
    <w:rsid w:val="00222A3C"/>
    <w:rsid w:val="00225389"/>
    <w:rsid w:val="0022698C"/>
    <w:rsid w:val="002319B3"/>
    <w:rsid w:val="00236AE3"/>
    <w:rsid w:val="00240B4E"/>
    <w:rsid w:val="00250C07"/>
    <w:rsid w:val="00250F22"/>
    <w:rsid w:val="00254993"/>
    <w:rsid w:val="002633EC"/>
    <w:rsid w:val="002828E5"/>
    <w:rsid w:val="002A2B9A"/>
    <w:rsid w:val="002A7D40"/>
    <w:rsid w:val="002B2B01"/>
    <w:rsid w:val="002B6AE2"/>
    <w:rsid w:val="002C0172"/>
    <w:rsid w:val="002C23D9"/>
    <w:rsid w:val="002C7F4D"/>
    <w:rsid w:val="002D209F"/>
    <w:rsid w:val="002E2E98"/>
    <w:rsid w:val="00300EB9"/>
    <w:rsid w:val="003046D5"/>
    <w:rsid w:val="00307689"/>
    <w:rsid w:val="00311B30"/>
    <w:rsid w:val="00320BF2"/>
    <w:rsid w:val="00324BF7"/>
    <w:rsid w:val="003331B8"/>
    <w:rsid w:val="003410E0"/>
    <w:rsid w:val="00343AFD"/>
    <w:rsid w:val="00351507"/>
    <w:rsid w:val="003535F1"/>
    <w:rsid w:val="00354CD0"/>
    <w:rsid w:val="00362474"/>
    <w:rsid w:val="00371210"/>
    <w:rsid w:val="00377EC8"/>
    <w:rsid w:val="003912A3"/>
    <w:rsid w:val="0039499D"/>
    <w:rsid w:val="003A2C5A"/>
    <w:rsid w:val="003A4D87"/>
    <w:rsid w:val="003B75AF"/>
    <w:rsid w:val="003B7C68"/>
    <w:rsid w:val="003D59AA"/>
    <w:rsid w:val="003E348E"/>
    <w:rsid w:val="003E5411"/>
    <w:rsid w:val="0042468F"/>
    <w:rsid w:val="00432972"/>
    <w:rsid w:val="00440FEA"/>
    <w:rsid w:val="00443B9A"/>
    <w:rsid w:val="00451850"/>
    <w:rsid w:val="00476829"/>
    <w:rsid w:val="00480935"/>
    <w:rsid w:val="00484F1E"/>
    <w:rsid w:val="004873A8"/>
    <w:rsid w:val="004973A7"/>
    <w:rsid w:val="00497DAD"/>
    <w:rsid w:val="004A1340"/>
    <w:rsid w:val="004A5FEA"/>
    <w:rsid w:val="004B10D4"/>
    <w:rsid w:val="004B2EE5"/>
    <w:rsid w:val="004B6988"/>
    <w:rsid w:val="004C26BA"/>
    <w:rsid w:val="004D563D"/>
    <w:rsid w:val="004D683F"/>
    <w:rsid w:val="004E0603"/>
    <w:rsid w:val="004E389B"/>
    <w:rsid w:val="004E4ED9"/>
    <w:rsid w:val="004E6053"/>
    <w:rsid w:val="004E7A23"/>
    <w:rsid w:val="004F0C45"/>
    <w:rsid w:val="004F1D30"/>
    <w:rsid w:val="004F42FC"/>
    <w:rsid w:val="004F4A07"/>
    <w:rsid w:val="00504110"/>
    <w:rsid w:val="0051597F"/>
    <w:rsid w:val="005175CE"/>
    <w:rsid w:val="00520A41"/>
    <w:rsid w:val="00520DBF"/>
    <w:rsid w:val="0052194D"/>
    <w:rsid w:val="0052595C"/>
    <w:rsid w:val="00527988"/>
    <w:rsid w:val="005539B1"/>
    <w:rsid w:val="00566E8C"/>
    <w:rsid w:val="005673E5"/>
    <w:rsid w:val="005723B8"/>
    <w:rsid w:val="005731F5"/>
    <w:rsid w:val="00574AC2"/>
    <w:rsid w:val="00575FCC"/>
    <w:rsid w:val="00581641"/>
    <w:rsid w:val="0059661C"/>
    <w:rsid w:val="005A50CC"/>
    <w:rsid w:val="005A515F"/>
    <w:rsid w:val="005A670E"/>
    <w:rsid w:val="005A6BBD"/>
    <w:rsid w:val="005B134D"/>
    <w:rsid w:val="005B1370"/>
    <w:rsid w:val="005B2174"/>
    <w:rsid w:val="005B7C6A"/>
    <w:rsid w:val="005C20C3"/>
    <w:rsid w:val="005C4E2D"/>
    <w:rsid w:val="005D3815"/>
    <w:rsid w:val="005D4B4A"/>
    <w:rsid w:val="005D7036"/>
    <w:rsid w:val="005E45E8"/>
    <w:rsid w:val="005E79E1"/>
    <w:rsid w:val="005F284C"/>
    <w:rsid w:val="005F53BA"/>
    <w:rsid w:val="005F5D59"/>
    <w:rsid w:val="006001B6"/>
    <w:rsid w:val="00601733"/>
    <w:rsid w:val="0061517C"/>
    <w:rsid w:val="0065334D"/>
    <w:rsid w:val="00665939"/>
    <w:rsid w:val="006744CD"/>
    <w:rsid w:val="00696B38"/>
    <w:rsid w:val="006C057D"/>
    <w:rsid w:val="006C0A3D"/>
    <w:rsid w:val="006C1914"/>
    <w:rsid w:val="006C5041"/>
    <w:rsid w:val="006C637B"/>
    <w:rsid w:val="006D4342"/>
    <w:rsid w:val="006E1F53"/>
    <w:rsid w:val="006E78E6"/>
    <w:rsid w:val="006F3BF2"/>
    <w:rsid w:val="00710749"/>
    <w:rsid w:val="007220C2"/>
    <w:rsid w:val="00725D6F"/>
    <w:rsid w:val="00726308"/>
    <w:rsid w:val="00746792"/>
    <w:rsid w:val="007514C2"/>
    <w:rsid w:val="007545B9"/>
    <w:rsid w:val="00785F59"/>
    <w:rsid w:val="007A4988"/>
    <w:rsid w:val="007A5476"/>
    <w:rsid w:val="007A7692"/>
    <w:rsid w:val="007B0757"/>
    <w:rsid w:val="007B2C6C"/>
    <w:rsid w:val="007B470A"/>
    <w:rsid w:val="007D57BE"/>
    <w:rsid w:val="007E257E"/>
    <w:rsid w:val="007E40F5"/>
    <w:rsid w:val="00803316"/>
    <w:rsid w:val="008036E6"/>
    <w:rsid w:val="00806A6F"/>
    <w:rsid w:val="00822022"/>
    <w:rsid w:val="00822932"/>
    <w:rsid w:val="00830348"/>
    <w:rsid w:val="00840028"/>
    <w:rsid w:val="00843CBC"/>
    <w:rsid w:val="00846D58"/>
    <w:rsid w:val="00852DFF"/>
    <w:rsid w:val="00856139"/>
    <w:rsid w:val="00865007"/>
    <w:rsid w:val="008721C2"/>
    <w:rsid w:val="00873978"/>
    <w:rsid w:val="00884A05"/>
    <w:rsid w:val="00894C25"/>
    <w:rsid w:val="008A1A24"/>
    <w:rsid w:val="008A7A52"/>
    <w:rsid w:val="008B7C56"/>
    <w:rsid w:val="008D7A98"/>
    <w:rsid w:val="008E5CC4"/>
    <w:rsid w:val="008F1324"/>
    <w:rsid w:val="008F7213"/>
    <w:rsid w:val="00902DB5"/>
    <w:rsid w:val="00903D2B"/>
    <w:rsid w:val="00907293"/>
    <w:rsid w:val="009111DF"/>
    <w:rsid w:val="009153AD"/>
    <w:rsid w:val="00917BFD"/>
    <w:rsid w:val="0093239C"/>
    <w:rsid w:val="00935461"/>
    <w:rsid w:val="0093758B"/>
    <w:rsid w:val="00942A54"/>
    <w:rsid w:val="00947C6E"/>
    <w:rsid w:val="009512AB"/>
    <w:rsid w:val="0096242D"/>
    <w:rsid w:val="0096636C"/>
    <w:rsid w:val="00974778"/>
    <w:rsid w:val="009802A6"/>
    <w:rsid w:val="00985F7C"/>
    <w:rsid w:val="009935A8"/>
    <w:rsid w:val="009B1874"/>
    <w:rsid w:val="009B443A"/>
    <w:rsid w:val="009B6062"/>
    <w:rsid w:val="009B6845"/>
    <w:rsid w:val="009C36DF"/>
    <w:rsid w:val="009E70B3"/>
    <w:rsid w:val="00A01CB8"/>
    <w:rsid w:val="00A01EA3"/>
    <w:rsid w:val="00A10DAA"/>
    <w:rsid w:val="00A11EC7"/>
    <w:rsid w:val="00A154AB"/>
    <w:rsid w:val="00A249FA"/>
    <w:rsid w:val="00A41D3C"/>
    <w:rsid w:val="00A422BF"/>
    <w:rsid w:val="00A44988"/>
    <w:rsid w:val="00A45E4A"/>
    <w:rsid w:val="00A51F7B"/>
    <w:rsid w:val="00A60C17"/>
    <w:rsid w:val="00A66C4B"/>
    <w:rsid w:val="00A825AE"/>
    <w:rsid w:val="00A84A4E"/>
    <w:rsid w:val="00A94FB5"/>
    <w:rsid w:val="00AA26EA"/>
    <w:rsid w:val="00AA436C"/>
    <w:rsid w:val="00AC0C64"/>
    <w:rsid w:val="00AC5569"/>
    <w:rsid w:val="00AD735E"/>
    <w:rsid w:val="00AE33B8"/>
    <w:rsid w:val="00B047E4"/>
    <w:rsid w:val="00B44C8B"/>
    <w:rsid w:val="00B523CE"/>
    <w:rsid w:val="00B541B8"/>
    <w:rsid w:val="00B734B3"/>
    <w:rsid w:val="00B9313C"/>
    <w:rsid w:val="00B9341E"/>
    <w:rsid w:val="00B94A1F"/>
    <w:rsid w:val="00B96C3D"/>
    <w:rsid w:val="00BB222D"/>
    <w:rsid w:val="00BD4D76"/>
    <w:rsid w:val="00BD59DD"/>
    <w:rsid w:val="00BE5596"/>
    <w:rsid w:val="00C04E01"/>
    <w:rsid w:val="00C055B7"/>
    <w:rsid w:val="00C243A6"/>
    <w:rsid w:val="00C31742"/>
    <w:rsid w:val="00C34ECB"/>
    <w:rsid w:val="00C34FCA"/>
    <w:rsid w:val="00C3760F"/>
    <w:rsid w:val="00C5346E"/>
    <w:rsid w:val="00C62257"/>
    <w:rsid w:val="00C642CD"/>
    <w:rsid w:val="00C72126"/>
    <w:rsid w:val="00C80518"/>
    <w:rsid w:val="00C83BAF"/>
    <w:rsid w:val="00C8788B"/>
    <w:rsid w:val="00C90E60"/>
    <w:rsid w:val="00CA6DEC"/>
    <w:rsid w:val="00CB1FA0"/>
    <w:rsid w:val="00CB5E86"/>
    <w:rsid w:val="00CC0AD5"/>
    <w:rsid w:val="00CD17F6"/>
    <w:rsid w:val="00CD79B1"/>
    <w:rsid w:val="00CE5A23"/>
    <w:rsid w:val="00CF3D82"/>
    <w:rsid w:val="00CF4CBC"/>
    <w:rsid w:val="00CF5967"/>
    <w:rsid w:val="00CF73CB"/>
    <w:rsid w:val="00D0304F"/>
    <w:rsid w:val="00D07CA3"/>
    <w:rsid w:val="00D12186"/>
    <w:rsid w:val="00D12CEF"/>
    <w:rsid w:val="00D2205F"/>
    <w:rsid w:val="00D25ACD"/>
    <w:rsid w:val="00D2705E"/>
    <w:rsid w:val="00D30C2F"/>
    <w:rsid w:val="00D37C10"/>
    <w:rsid w:val="00D40FD6"/>
    <w:rsid w:val="00D43770"/>
    <w:rsid w:val="00D505F5"/>
    <w:rsid w:val="00D73511"/>
    <w:rsid w:val="00D77D75"/>
    <w:rsid w:val="00D801F8"/>
    <w:rsid w:val="00D81331"/>
    <w:rsid w:val="00D829B4"/>
    <w:rsid w:val="00D90C20"/>
    <w:rsid w:val="00D9278D"/>
    <w:rsid w:val="00DA1E6C"/>
    <w:rsid w:val="00DA347F"/>
    <w:rsid w:val="00DB6E28"/>
    <w:rsid w:val="00DC2413"/>
    <w:rsid w:val="00DD0B07"/>
    <w:rsid w:val="00DF2DC0"/>
    <w:rsid w:val="00DF560D"/>
    <w:rsid w:val="00E04450"/>
    <w:rsid w:val="00E20055"/>
    <w:rsid w:val="00E26A2F"/>
    <w:rsid w:val="00E46B1C"/>
    <w:rsid w:val="00E50560"/>
    <w:rsid w:val="00E60E45"/>
    <w:rsid w:val="00E6321F"/>
    <w:rsid w:val="00E63F6D"/>
    <w:rsid w:val="00E647FE"/>
    <w:rsid w:val="00E707B5"/>
    <w:rsid w:val="00E73113"/>
    <w:rsid w:val="00E73E33"/>
    <w:rsid w:val="00E821AC"/>
    <w:rsid w:val="00E8290D"/>
    <w:rsid w:val="00E97B25"/>
    <w:rsid w:val="00EA1041"/>
    <w:rsid w:val="00EA22FB"/>
    <w:rsid w:val="00EA6245"/>
    <w:rsid w:val="00EB15FF"/>
    <w:rsid w:val="00EB244D"/>
    <w:rsid w:val="00EC1596"/>
    <w:rsid w:val="00ED668A"/>
    <w:rsid w:val="00EE2107"/>
    <w:rsid w:val="00EF1CA6"/>
    <w:rsid w:val="00F03383"/>
    <w:rsid w:val="00F04662"/>
    <w:rsid w:val="00F114B1"/>
    <w:rsid w:val="00F174EF"/>
    <w:rsid w:val="00F21999"/>
    <w:rsid w:val="00F2291D"/>
    <w:rsid w:val="00F51D42"/>
    <w:rsid w:val="00F52C34"/>
    <w:rsid w:val="00F63512"/>
    <w:rsid w:val="00F664D2"/>
    <w:rsid w:val="00F76451"/>
    <w:rsid w:val="00F91D20"/>
    <w:rsid w:val="00F9561D"/>
    <w:rsid w:val="00FA2AA2"/>
    <w:rsid w:val="00FB417A"/>
    <w:rsid w:val="00FB55E4"/>
    <w:rsid w:val="00FB7BFE"/>
    <w:rsid w:val="00FE0444"/>
    <w:rsid w:val="00FF19BF"/>
    <w:rsid w:val="00FF46AB"/>
    <w:rsid w:val="0E485542"/>
    <w:rsid w:val="10806817"/>
    <w:rsid w:val="18D61E1A"/>
    <w:rsid w:val="19A22A9C"/>
    <w:rsid w:val="1AB772D9"/>
    <w:rsid w:val="21867A05"/>
    <w:rsid w:val="264D464E"/>
    <w:rsid w:val="32FC7FC3"/>
    <w:rsid w:val="33CF06A3"/>
    <w:rsid w:val="349F7E86"/>
    <w:rsid w:val="3BAB3E99"/>
    <w:rsid w:val="413D7498"/>
    <w:rsid w:val="4BA32DDE"/>
    <w:rsid w:val="53A91D29"/>
    <w:rsid w:val="54D83641"/>
    <w:rsid w:val="565E627F"/>
    <w:rsid w:val="681A3FD0"/>
    <w:rsid w:val="6F0568FA"/>
    <w:rsid w:val="6FD809F9"/>
    <w:rsid w:val="70614329"/>
    <w:rsid w:val="732D105C"/>
    <w:rsid w:val="77081792"/>
    <w:rsid w:val="7E3A1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0"/>
    <w:qFormat/>
    <w:uiPriority w:val="9"/>
    <w:pPr>
      <w:keepNext/>
      <w:keepLines/>
      <w:numPr>
        <w:ilvl w:val="0"/>
        <w:numId w:val="1"/>
      </w:numPr>
      <w:spacing w:before="120" w:after="120"/>
      <w:ind w:left="0" w:firstLine="0" w:firstLineChars="0"/>
      <w:jc w:val="center"/>
      <w:outlineLvl w:val="0"/>
    </w:pPr>
    <w:rPr>
      <w:rFonts w:ascii="黑体" w:hAnsi="黑体"/>
      <w:bCs/>
      <w:kern w:val="44"/>
      <w:sz w:val="28"/>
      <w:szCs w:val="44"/>
    </w:rPr>
  </w:style>
  <w:style w:type="paragraph" w:styleId="3">
    <w:name w:val="heading 2"/>
    <w:basedOn w:val="1"/>
    <w:next w:val="1"/>
    <w:link w:val="21"/>
    <w:unhideWhenUsed/>
    <w:qFormat/>
    <w:uiPriority w:val="9"/>
    <w:pPr>
      <w:keepNext/>
      <w:keepLines/>
      <w:numPr>
        <w:ilvl w:val="1"/>
        <w:numId w:val="1"/>
      </w:numPr>
      <w:spacing w:before="50" w:beforeLines="50" w:after="50" w:afterLines="50"/>
      <w:ind w:left="0" w:firstLine="0" w:firstLineChars="0"/>
      <w:jc w:val="left"/>
      <w:outlineLvl w:val="1"/>
    </w:pPr>
    <w:rPr>
      <w:rFonts w:ascii="黑体" w:hAnsi="黑体" w:cstheme="majorBidi"/>
      <w:b/>
      <w:bCs/>
      <w:szCs w:val="32"/>
    </w:rPr>
  </w:style>
  <w:style w:type="paragraph" w:styleId="4">
    <w:name w:val="heading 3"/>
    <w:basedOn w:val="1"/>
    <w:next w:val="1"/>
    <w:link w:val="22"/>
    <w:unhideWhenUsed/>
    <w:qFormat/>
    <w:uiPriority w:val="9"/>
    <w:pPr>
      <w:keepNext/>
      <w:keepLines/>
      <w:numPr>
        <w:ilvl w:val="2"/>
        <w:numId w:val="1"/>
      </w:numPr>
      <w:ind w:left="0" w:firstLine="0" w:firstLineChars="0"/>
      <w:jc w:val="left"/>
      <w:outlineLvl w:val="2"/>
    </w:pPr>
    <w:rPr>
      <w:rFonts w:ascii="黑体" w:hAnsi="黑体"/>
      <w:bCs/>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ind w:left="840" w:leftChars="400"/>
    </w:pPr>
  </w:style>
  <w:style w:type="paragraph" w:styleId="6">
    <w:name w:val="Balloon Text"/>
    <w:basedOn w:val="1"/>
    <w:link w:val="27"/>
    <w:semiHidden/>
    <w:unhideWhenUsed/>
    <w:qFormat/>
    <w:uiPriority w:val="99"/>
    <w:rPr>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style>
  <w:style w:type="paragraph" w:styleId="10">
    <w:name w:val="toc 2"/>
    <w:basedOn w:val="1"/>
    <w:next w:val="1"/>
    <w:autoRedefine/>
    <w:unhideWhenUsed/>
    <w:qFormat/>
    <w:uiPriority w:val="39"/>
    <w:pPr>
      <w:ind w:left="420" w:leftChars="200"/>
    </w:pPr>
  </w:style>
  <w:style w:type="paragraph" w:styleId="11">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styleId="17">
    <w:name w:val="HTML Code"/>
    <w:basedOn w:val="14"/>
    <w:semiHidden/>
    <w:unhideWhenUsed/>
    <w:uiPriority w:val="99"/>
    <w:rPr>
      <w:rFonts w:ascii="Courier New" w:hAnsi="Courier New"/>
      <w:sz w:val="20"/>
    </w:rPr>
  </w:style>
  <w:style w:type="character" w:customStyle="1" w:styleId="18">
    <w:name w:val="页眉 字符"/>
    <w:basedOn w:val="14"/>
    <w:link w:val="8"/>
    <w:qFormat/>
    <w:uiPriority w:val="99"/>
    <w:rPr>
      <w:sz w:val="18"/>
      <w:szCs w:val="18"/>
    </w:rPr>
  </w:style>
  <w:style w:type="character" w:customStyle="1" w:styleId="19">
    <w:name w:val="页脚 字符"/>
    <w:basedOn w:val="14"/>
    <w:link w:val="7"/>
    <w:qFormat/>
    <w:uiPriority w:val="99"/>
    <w:rPr>
      <w:sz w:val="18"/>
      <w:szCs w:val="18"/>
    </w:rPr>
  </w:style>
  <w:style w:type="character" w:customStyle="1" w:styleId="20">
    <w:name w:val="标题 1 字符"/>
    <w:basedOn w:val="14"/>
    <w:link w:val="2"/>
    <w:qFormat/>
    <w:uiPriority w:val="9"/>
    <w:rPr>
      <w:rFonts w:ascii="黑体" w:hAnsi="黑体" w:eastAsia="宋体"/>
      <w:bCs/>
      <w:kern w:val="44"/>
      <w:sz w:val="28"/>
      <w:szCs w:val="44"/>
    </w:rPr>
  </w:style>
  <w:style w:type="character" w:customStyle="1" w:styleId="21">
    <w:name w:val="标题 2 字符"/>
    <w:basedOn w:val="14"/>
    <w:link w:val="3"/>
    <w:qFormat/>
    <w:uiPriority w:val="9"/>
    <w:rPr>
      <w:rFonts w:ascii="黑体" w:hAnsi="黑体" w:eastAsia="宋体" w:cstheme="majorBidi"/>
      <w:b/>
      <w:bCs/>
      <w:sz w:val="24"/>
      <w:szCs w:val="32"/>
    </w:rPr>
  </w:style>
  <w:style w:type="character" w:customStyle="1" w:styleId="22">
    <w:name w:val="标题 3 字符"/>
    <w:basedOn w:val="14"/>
    <w:link w:val="4"/>
    <w:qFormat/>
    <w:uiPriority w:val="9"/>
    <w:rPr>
      <w:rFonts w:ascii="黑体" w:hAnsi="黑体" w:eastAsia="宋体"/>
      <w:bCs/>
      <w:sz w:val="24"/>
      <w:szCs w:val="32"/>
    </w:rPr>
  </w:style>
  <w:style w:type="paragraph" w:styleId="23">
    <w:name w:val="List Paragraph"/>
    <w:basedOn w:val="1"/>
    <w:qFormat/>
    <w:uiPriority w:val="34"/>
    <w:pPr>
      <w:ind w:firstLine="420"/>
    </w:pPr>
  </w:style>
  <w:style w:type="paragraph" w:customStyle="1" w:styleId="24">
    <w:name w:val="图表"/>
    <w:basedOn w:val="1"/>
    <w:next w:val="1"/>
    <w:qFormat/>
    <w:uiPriority w:val="0"/>
    <w:pPr>
      <w:ind w:firstLine="0" w:firstLineChars="0"/>
      <w:jc w:val="center"/>
    </w:pPr>
    <w:rPr>
      <w:b/>
      <w:sz w:val="21"/>
      <w:szCs w:val="21"/>
    </w:rPr>
  </w:style>
  <w:style w:type="character" w:customStyle="1" w:styleId="25">
    <w:name w:val="未处理的提及1"/>
    <w:basedOn w:val="14"/>
    <w:semiHidden/>
    <w:unhideWhenUsed/>
    <w:qFormat/>
    <w:uiPriority w:val="99"/>
    <w:rPr>
      <w:color w:val="605E5C"/>
      <w:shd w:val="clear" w:color="auto" w:fill="E1DFDD"/>
    </w:rPr>
  </w:style>
  <w:style w:type="paragraph" w:customStyle="1" w:styleId="26">
    <w:name w:val="Bibliography"/>
    <w:basedOn w:val="1"/>
    <w:next w:val="1"/>
    <w:unhideWhenUsed/>
    <w:qFormat/>
    <w:uiPriority w:val="37"/>
  </w:style>
  <w:style w:type="character" w:customStyle="1" w:styleId="27">
    <w:name w:val="批注框文本 字符"/>
    <w:basedOn w:val="14"/>
    <w:link w:val="6"/>
    <w:semiHidden/>
    <w:qFormat/>
    <w:uiPriority w:val="99"/>
    <w:rPr>
      <w:rFonts w:ascii="Times New Roman" w:hAnsi="Times New Roman" w:eastAsia="宋体"/>
      <w:sz w:val="18"/>
      <w:szCs w:val="18"/>
    </w:rPr>
  </w:style>
  <w:style w:type="table" w:customStyle="1" w:styleId="28">
    <w:name w:val="三线表"/>
    <w:basedOn w:val="12"/>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9">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styleId="30">
    <w:name w:val="Placeholder Text"/>
    <w:basedOn w:val="14"/>
    <w:semiHidden/>
    <w:qFormat/>
    <w:uiPriority w:val="99"/>
    <w:rPr>
      <w:color w:val="808080"/>
    </w:rPr>
  </w:style>
  <w:style w:type="character" w:customStyle="1" w:styleId="31">
    <w:name w:val="AMEquationSection"/>
    <w:basedOn w:val="14"/>
    <w:qFormat/>
    <w:uiPriority w:val="0"/>
    <w:rPr>
      <w:rFonts w:ascii="黑体" w:hAnsi="黑体" w:eastAsia="黑体"/>
      <w:color w:val="FF0000"/>
      <w:sz w:val="32"/>
      <w:szCs w:val="32"/>
    </w:rPr>
  </w:style>
  <w:style w:type="paragraph" w:customStyle="1" w:styleId="32">
    <w:name w:val="AMDisplayEquation"/>
    <w:basedOn w:val="2"/>
    <w:next w:val="1"/>
    <w:link w:val="33"/>
    <w:qFormat/>
    <w:uiPriority w:val="0"/>
    <w:pPr>
      <w:tabs>
        <w:tab w:val="center" w:pos="4420"/>
        <w:tab w:val="right" w:pos="8840"/>
      </w:tabs>
    </w:pPr>
    <w:rPr>
      <w:color w:val="FF0000"/>
    </w:rPr>
  </w:style>
  <w:style w:type="character" w:customStyle="1" w:styleId="33">
    <w:name w:val="AMDisplayEquation 字符"/>
    <w:basedOn w:val="14"/>
    <w:link w:val="32"/>
    <w:qFormat/>
    <w:uiPriority w:val="0"/>
    <w:rPr>
      <w:rFonts w:ascii="黑体" w:hAnsi="黑体" w:eastAsia="黑体"/>
      <w:bCs/>
      <w:color w:val="FF0000"/>
      <w:kern w:val="44"/>
      <w:sz w:val="28"/>
      <w:szCs w:val="44"/>
    </w:rPr>
  </w:style>
  <w:style w:type="paragraph" w:customStyle="1" w:styleId="34">
    <w:name w:val="EndNote Bibliography Title"/>
    <w:basedOn w:val="1"/>
    <w:link w:val="35"/>
    <w:qFormat/>
    <w:uiPriority w:val="0"/>
    <w:pPr>
      <w:jc w:val="center"/>
    </w:pPr>
    <w:rPr>
      <w:rFonts w:cs="Times New Roman"/>
    </w:rPr>
  </w:style>
  <w:style w:type="character" w:customStyle="1" w:styleId="35">
    <w:name w:val="EndNote Bibliography Title 字符"/>
    <w:basedOn w:val="14"/>
    <w:link w:val="34"/>
    <w:qFormat/>
    <w:uiPriority w:val="0"/>
    <w:rPr>
      <w:rFonts w:ascii="Times New Roman" w:hAnsi="Times New Roman" w:eastAsia="宋体" w:cs="Times New Roman"/>
      <w:sz w:val="24"/>
    </w:rPr>
  </w:style>
  <w:style w:type="paragraph" w:customStyle="1" w:styleId="36">
    <w:name w:val="EndNote Bibliography"/>
    <w:basedOn w:val="1"/>
    <w:link w:val="37"/>
    <w:qFormat/>
    <w:uiPriority w:val="0"/>
    <w:rPr>
      <w:rFonts w:cs="Times New Roman"/>
    </w:rPr>
  </w:style>
  <w:style w:type="character" w:customStyle="1" w:styleId="37">
    <w:name w:val="EndNote Bibliography 字符"/>
    <w:basedOn w:val="14"/>
    <w:link w:val="36"/>
    <w:qFormat/>
    <w:uiPriority w:val="0"/>
    <w:rPr>
      <w:rFonts w:ascii="Times New Roman" w:hAnsi="Times New Roman" w:eastAsia="宋体" w:cs="Times New Roman"/>
      <w:sz w:val="24"/>
    </w:rPr>
  </w:style>
  <w:style w:type="character" w:customStyle="1" w:styleId="38">
    <w:name w:val="Unresolved Mention"/>
    <w:basedOn w:val="14"/>
    <w:semiHidden/>
    <w:unhideWhenUsed/>
    <w:qFormat/>
    <w:uiPriority w:val="99"/>
    <w:rPr>
      <w:color w:val="605E5C"/>
      <w:shd w:val="clear" w:color="auto" w:fill="E1DFDD"/>
    </w:rPr>
  </w:style>
  <w:style w:type="character" w:customStyle="1" w:styleId="39">
    <w:name w:val="tit"/>
    <w:basedOn w:val="14"/>
    <w:qFormat/>
    <w:uiPriority w:val="0"/>
  </w:style>
  <w:style w:type="paragraph" w:customStyle="1" w:styleId="40">
    <w:name w:val="图表标题"/>
    <w:basedOn w:val="1"/>
    <w:next w:val="1"/>
    <w:qFormat/>
    <w:uiPriority w:val="0"/>
    <w:pPr>
      <w:ind w:firstLine="0" w:firstLineChars="0"/>
      <w:jc w:val="center"/>
    </w:pPr>
    <w:rPr>
      <w:b/>
      <w:sz w:val="21"/>
      <w:szCs w:val="21"/>
    </w:rPr>
  </w:style>
  <w:style w:type="paragraph" w:customStyle="1" w:styleId="41">
    <w:name w:val="WPSOffice手动目录 1"/>
    <w:qFormat/>
    <w:uiPriority w:val="0"/>
    <w:pPr>
      <w:ind w:leftChars="0"/>
    </w:pPr>
    <w:rPr>
      <w:rFonts w:ascii="Times New Roman" w:hAnsi="Times New Roman" w:eastAsia="宋体" w:cs="Times New Roman"/>
      <w:sz w:val="20"/>
      <w:szCs w:val="20"/>
    </w:rPr>
  </w:style>
  <w:style w:type="paragraph" w:customStyle="1" w:styleId="42">
    <w:name w:val="WPSOffice手动目录 2"/>
    <w:qFormat/>
    <w:uiPriority w:val="0"/>
    <w:pPr>
      <w:ind w:leftChars="200"/>
    </w:pPr>
    <w:rPr>
      <w:rFonts w:ascii="Times New Roman" w:hAnsi="Times New Roman" w:eastAsia="宋体" w:cs="Times New Roman"/>
      <w:sz w:val="20"/>
      <w:szCs w:val="20"/>
    </w:rPr>
  </w:style>
  <w:style w:type="paragraph" w:customStyle="1" w:styleId="4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2737</Words>
  <Characters>2877</Characters>
  <Lines>23</Lines>
  <Paragraphs>6</Paragraphs>
  <TotalTime>108</TotalTime>
  <ScaleCrop>false</ScaleCrop>
  <LinksUpToDate>false</LinksUpToDate>
  <CharactersWithSpaces>2904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2022-02-09T15:53:00Z</dcterms:created>
  <dc:creator>sxjm qf</dc:creator>
  <cp:lastModifiedBy>Yalo</cp:lastModifiedBy>
  <cp:lastPrinted>2020-11-30T03:40:00Z</cp:lastPrinted>
  <dcterms:modified xsi:type="dcterms:W3CDTF">2025-09-05T03:09:13Z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2052-12.1.0.22529</vt:lpwstr>
  </property>
  <property fmtid="{D5CDD505-2E9C-101B-9397-08002B2CF9AE}" pid="8" name="ICV">
    <vt:lpwstr>4528806D6E354E498F8E3CFAEB9A691B_13</vt:lpwstr>
  </property>
  <property fmtid="{D5CDD505-2E9C-101B-9397-08002B2CF9AE}" pid="9" name="KSOTemplateDocerSaveRecord">
    <vt:lpwstr>eyJoZGlkIjoiYmE0OTE0OTBlZTY1MDVjYzdlNTBjNmQ2ZGRjMzk0ZDciLCJ1c2VySWQiOiI1OTY5OTU4MTgifQ==</vt:lpwstr>
  </property>
</Properties>
</file>