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human</w:t>
      </w:r>
      <w:r>
        <w:t xml:space="preserve"> </w:t>
      </w:r>
      <w:r>
        <w:t xml:space="preserve">influence</w:t>
      </w:r>
      <w:r>
        <w:t xml:space="preserve"> </w:t>
      </w:r>
      <w:r>
        <w:t xml:space="preserve">on</w:t>
      </w:r>
      <w:r>
        <w:t xml:space="preserve"> </w:t>
      </w:r>
      <w:r>
        <w:t xml:space="preserve">drought</w:t>
      </w:r>
    </w:p>
    <w:p>
      <w:pPr>
        <w:pStyle w:val="Author"/>
      </w:pPr>
      <w:r>
        <w:t xml:space="preserve">Worked</w:t>
      </w:r>
      <w:r>
        <w:t xml:space="preserve"> </w:t>
      </w:r>
      <w:r>
        <w:t xml:space="preserve">example</w:t>
      </w:r>
      <w:r>
        <w:t xml:space="preserve"> </w:t>
      </w:r>
      <w:r>
        <w:t xml:space="preserve">10.1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 comparison of two time series from the Upper-Guadiana catchment, one with and one without human influence, is done to demonstrate the catchment-scale observation-based methods to quantify the human influence on hydrological drought (Section 10.4.1; Fig. 10.6). These time series can be calculated from a paired catchment analysis, an upstream-downstream comparison, observed-naturalised comparison, or pre-post disturbance analysis (Section 10.4.1). In this example, we use the observed-naturalised approach.</w:t>
      </w:r>
    </w:p>
    <w:bookmarkStart w:id="21" w:name="loading-the-data"/>
    <w:p>
      <w:pPr>
        <w:pStyle w:val="Heading1"/>
      </w:pPr>
      <w:r>
        <w:t xml:space="preserve">Loading the data</w:t>
      </w:r>
    </w:p>
    <w:p>
      <w:pPr>
        <w:pStyle w:val="FirstParagraph"/>
      </w:pPr>
      <w:r>
        <w:t xml:space="preserve">We begin by loading the two time series from the Upper-Guadiana dataset: the benchmark (natural) time series and the human-influenced time series.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(hydroDrought)</w:t>
      </w:r>
      <w:r>
        <w:br/>
      </w:r>
      <w:r>
        <w:br/>
      </w:r>
      <w:r>
        <w:rPr>
          <w:rStyle w:val="DocumentationTok"/>
        </w:rPr>
        <w:t xml:space="preserve">### Filter to the period 1960-2000 </w:t>
      </w:r>
      <w:r>
        <w:br/>
      </w:r>
      <w:r>
        <w:rPr>
          <w:rStyle w:val="DocumentationTok"/>
        </w:rPr>
        <w:t xml:space="preserve">### Rename the columns</w:t>
      </w:r>
      <w:r>
        <w:br/>
      </w:r>
      <w:r>
        <w:rPr>
          <w:rStyle w:val="DocumentationTok"/>
        </w:rPr>
        <w:t xml:space="preserve">### Calculate the water year</w:t>
      </w:r>
      <w:r>
        <w:br/>
      </w:r>
      <w:r>
        <w:rPr>
          <w:rStyle w:val="NormalTok"/>
        </w:rPr>
        <w:t xml:space="preserve">guadiana_full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guadiana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benchmark =</w:t>
      </w:r>
      <w:r>
        <w:rPr>
          <w:rStyle w:val="NormalTok"/>
        </w:rPr>
        <w:t xml:space="preserve"> Qsim, </w:t>
      </w:r>
      <w:r>
        <w:rPr>
          <w:rStyle w:val="AttributeTok"/>
        </w:rPr>
        <w:t xml:space="preserve">influenced =</w:t>
      </w:r>
      <w:r>
        <w:rPr>
          <w:rStyle w:val="NormalTok"/>
        </w:rPr>
        <w:t xml:space="preserve"> Qobs)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water_year</w:t>
      </w:r>
      <w:r>
        <w:rPr>
          <w:rStyle w:val="NormalTok"/>
        </w:rPr>
        <w:t xml:space="preserve">(time)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(guadiana_full)</w:t>
      </w:r>
    </w:p>
    <w:p>
      <w:pPr>
        <w:pStyle w:val="SourceCode"/>
      </w:pPr>
      <w:r>
        <w:rPr>
          <w:rStyle w:val="VerbatimChar"/>
        </w:rPr>
        <w:t xml:space="preserve">## # A tibble: 14,976 x 4</w:t>
      </w:r>
      <w:r>
        <w:br/>
      </w:r>
      <w:r>
        <w:rPr>
          <w:rStyle w:val="VerbatimChar"/>
        </w:rPr>
        <w:t xml:space="preserve">##    time       benchmark influenced  year</w:t>
      </w:r>
      <w:r>
        <w:br/>
      </w:r>
      <w:r>
        <w:rPr>
          <w:rStyle w:val="VerbatimChar"/>
        </w:rPr>
        <w:t xml:space="preserve">##    &lt;date&gt;         &lt;dbl&gt;      &lt;dbl&gt; &lt;dbl&gt;</w:t>
      </w:r>
      <w:r>
        <w:br/>
      </w:r>
      <w:r>
        <w:rPr>
          <w:rStyle w:val="VerbatimChar"/>
        </w:rPr>
        <w:t xml:space="preserve">##  1 1960-01-01     0.153      0.146  1960</w:t>
      </w:r>
      <w:r>
        <w:br/>
      </w:r>
      <w:r>
        <w:rPr>
          <w:rStyle w:val="VerbatimChar"/>
        </w:rPr>
        <w:t xml:space="preserve">##  2 1960-01-02     0.148      0.146  1960</w:t>
      </w:r>
      <w:r>
        <w:br/>
      </w:r>
      <w:r>
        <w:rPr>
          <w:rStyle w:val="VerbatimChar"/>
        </w:rPr>
        <w:t xml:space="preserve">##  3 1960-01-03     0.144      0.143  1960</w:t>
      </w:r>
      <w:r>
        <w:br/>
      </w:r>
      <w:r>
        <w:rPr>
          <w:rStyle w:val="VerbatimChar"/>
        </w:rPr>
        <w:t xml:space="preserve">##  4 1960-01-04     0.14       0.154  1960</w:t>
      </w:r>
      <w:r>
        <w:br/>
      </w:r>
      <w:r>
        <w:rPr>
          <w:rStyle w:val="VerbatimChar"/>
        </w:rPr>
        <w:t xml:space="preserve">##  5 1960-01-05     0.136      0.148  1960</w:t>
      </w:r>
      <w:r>
        <w:br/>
      </w:r>
      <w:r>
        <w:rPr>
          <w:rStyle w:val="VerbatimChar"/>
        </w:rPr>
        <w:t xml:space="preserve">##  6 1960-01-06     0.133      0.154  1960</w:t>
      </w:r>
      <w:r>
        <w:br/>
      </w:r>
      <w:r>
        <w:rPr>
          <w:rStyle w:val="VerbatimChar"/>
        </w:rPr>
        <w:t xml:space="preserve">##  7 1960-01-07     0.13       0.154  1960</w:t>
      </w:r>
      <w:r>
        <w:br/>
      </w:r>
      <w:r>
        <w:rPr>
          <w:rStyle w:val="VerbatimChar"/>
        </w:rPr>
        <w:t xml:space="preserve">##  8 1960-01-08     0.128      0.148  1960</w:t>
      </w:r>
      <w:r>
        <w:br/>
      </w:r>
      <w:r>
        <w:rPr>
          <w:rStyle w:val="VerbatimChar"/>
        </w:rPr>
        <w:t xml:space="preserve">##  9 1960-01-09     0.129      0.146  1960</w:t>
      </w:r>
      <w:r>
        <w:br/>
      </w:r>
      <w:r>
        <w:rPr>
          <w:rStyle w:val="VerbatimChar"/>
        </w:rPr>
        <w:t xml:space="preserve">## 10 1960-01-10     0.139      0.133  1960</w:t>
      </w:r>
      <w:r>
        <w:br/>
      </w:r>
      <w:r>
        <w:rPr>
          <w:rStyle w:val="VerbatimChar"/>
        </w:rPr>
        <w:t xml:space="preserve">## # … with 14,966 more rows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(guadiana_full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[1] "1960-01-01" "2000-12-31"</w:t>
      </w:r>
    </w:p>
    <w:p>
      <w:pPr>
        <w:pStyle w:val="FirstParagraph"/>
      </w:pPr>
      <w:r>
        <w:t xml:space="preserve">The benchmark time series is simulated as described in Section 9.3.3. In this case, the observed time series from the Upper-Guadiana catchment is the human-influenced time series (Section 4.5.X).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0.xxxx: Time series showing the benchmark and human-influenced time series. Discharge is plotted on a log scale to emphasize low flow behavior. The grey region shows the comparison period for human influence (1981-2000)." title="" id="1" name="Picture"/>
            <a:graphic>
              <a:graphicData uri="http://schemas.openxmlformats.org/drawingml/2006/picture">
                <pic:pic>
                  <pic:nvPicPr>
                    <pic:cNvPr descr="10-1_human_influenc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10.xxxx: Time series showing the benchmark and human-influenced time series. Discharge is plotted on a log scale to emphasize low flow behavior. The grey region shows the comparison period for human influence (1981-2000).</w:t>
      </w:r>
    </w:p>
    <w:bookmarkEnd w:id="21"/>
    <w:bookmarkStart w:id="23" w:name="threshold-calculation"/>
    <w:p>
      <w:pPr>
        <w:pStyle w:val="Heading1"/>
      </w:pPr>
      <w:r>
        <w:t xml:space="preserve">Threshold calculation</w:t>
      </w:r>
    </w:p>
    <w:p>
      <w:pPr>
        <w:pStyle w:val="FirstParagraph"/>
      </w:pPr>
      <w:r>
        <w:t xml:space="preserve">In this example we use a daily varying threshold, the Q80, calculated based on a smoothed 30-day moving average series over the period 1960-2000. The threshold is derived based on the benchmark time series.</w:t>
      </w:r>
    </w:p>
    <w:p>
      <w:pPr>
        <w:pStyle w:val="SourceCode"/>
      </w:pPr>
      <w:r>
        <w:rPr>
          <w:rStyle w:val="DocumentationTok"/>
        </w:rPr>
        <w:t xml:space="preserve">### First apply a 30-day moving average smoother</w:t>
      </w:r>
      <w:r>
        <w:br/>
      </w:r>
      <w:r>
        <w:rPr>
          <w:rStyle w:val="DocumentationTok"/>
        </w:rPr>
        <w:t xml:space="preserve">### Then compute the Q80 for each day of the year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guadiana_full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discharge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moving_average</w:t>
      </w:r>
      <w:r>
        <w:rPr>
          <w:rStyle w:val="NormalTok"/>
        </w:rPr>
        <w:t xml:space="preserve">(benchmark,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var_threshold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vary.by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lfquantile, </w:t>
      </w:r>
      <w:r>
        <w:rPr>
          <w:rStyle w:val="AttributeTok"/>
        </w:rPr>
        <w:t xml:space="preserve">exc.freq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(threshold)</w:t>
      </w:r>
    </w:p>
    <w:p>
      <w:pPr>
        <w:pStyle w:val="SourceCode"/>
      </w:pPr>
      <w:r>
        <w:rPr>
          <w:rStyle w:val="VerbatimChar"/>
        </w:rPr>
        <w:t xml:space="preserve">## # A tibble: 366 x 2</w:t>
      </w:r>
      <w:r>
        <w:br/>
      </w:r>
      <w:r>
        <w:rPr>
          <w:rStyle w:val="VerbatimChar"/>
        </w:rPr>
        <w:t xml:space="preserve">##       day threshold</w:t>
      </w:r>
      <w:r>
        <w:br/>
      </w:r>
      <w:r>
        <w:rPr>
          <w:rStyle w:val="VerbatimChar"/>
        </w:rPr>
        <w:t xml:space="preserve">##  * &lt;date&gt;     &lt;dbl&gt;</w:t>
      </w:r>
      <w:r>
        <w:br/>
      </w:r>
      <w:r>
        <w:rPr>
          <w:rStyle w:val="VerbatimChar"/>
        </w:rPr>
        <w:t xml:space="preserve">##  1 -01-01    0.0172</w:t>
      </w:r>
      <w:r>
        <w:br/>
      </w:r>
      <w:r>
        <w:rPr>
          <w:rStyle w:val="VerbatimChar"/>
        </w:rPr>
        <w:t xml:space="preserve">##  2 -01-02    0.0184</w:t>
      </w:r>
      <w:r>
        <w:br/>
      </w:r>
      <w:r>
        <w:rPr>
          <w:rStyle w:val="VerbatimChar"/>
        </w:rPr>
        <w:t xml:space="preserve">##  3 -01-03    0.0184</w:t>
      </w:r>
      <w:r>
        <w:br/>
      </w:r>
      <w:r>
        <w:rPr>
          <w:rStyle w:val="VerbatimChar"/>
        </w:rPr>
        <w:t xml:space="preserve">##  4 -01-04    0.0187</w:t>
      </w:r>
      <w:r>
        <w:br/>
      </w:r>
      <w:r>
        <w:rPr>
          <w:rStyle w:val="VerbatimChar"/>
        </w:rPr>
        <w:t xml:space="preserve">##  5 -01-05    0.0190</w:t>
      </w:r>
      <w:r>
        <w:br/>
      </w:r>
      <w:r>
        <w:rPr>
          <w:rStyle w:val="VerbatimChar"/>
        </w:rPr>
        <w:t xml:space="preserve">##  6 -01-06    0.0194</w:t>
      </w:r>
      <w:r>
        <w:br/>
      </w:r>
      <w:r>
        <w:rPr>
          <w:rStyle w:val="VerbatimChar"/>
        </w:rPr>
        <w:t xml:space="preserve">##  7 -01-07    0.0197</w:t>
      </w:r>
      <w:r>
        <w:br/>
      </w:r>
      <w:r>
        <w:rPr>
          <w:rStyle w:val="VerbatimChar"/>
        </w:rPr>
        <w:t xml:space="preserve">##  8 -01-08    0.0200</w:t>
      </w:r>
      <w:r>
        <w:br/>
      </w:r>
      <w:r>
        <w:rPr>
          <w:rStyle w:val="VerbatimChar"/>
        </w:rPr>
        <w:t xml:space="preserve">##  9 -01-09    0.0203</w:t>
      </w:r>
      <w:r>
        <w:br/>
      </w:r>
      <w:r>
        <w:rPr>
          <w:rStyle w:val="VerbatimChar"/>
        </w:rPr>
        <w:t xml:space="preserve">## 10 -01-10    0.0206</w:t>
      </w:r>
      <w:r>
        <w:br/>
      </w:r>
      <w:r>
        <w:rPr>
          <w:rStyle w:val="VerbatimChar"/>
        </w:rPr>
        <w:t xml:space="preserve">## # … with 356 more rows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0.xxxx: Benchmark discharge for the period 1960-2000 showing seasonality, with each line representing a year. The smoothed Q80 threshold is shown in bold red." title="" id="1" name="Picture"/>
            <a:graphic>
              <a:graphicData uri="http://schemas.openxmlformats.org/drawingml/2006/picture">
                <pic:pic>
                  <pic:nvPicPr>
                    <pic:cNvPr descr="10-1_human_influenc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10.xxxx: Benchmark discharge for the period 1960-2000 showing seasonality, with each line representing a year. The smoothed Q80 threshold is shown in bold red.</w:t>
      </w:r>
    </w:p>
    <w:bookmarkEnd w:id="23"/>
    <w:bookmarkStart w:id="24" w:name="calculate-the-benchmark-drought-indices"/>
    <w:p>
      <w:pPr>
        <w:pStyle w:val="Heading1"/>
      </w:pPr>
      <w:r>
        <w:t xml:space="preserve">Calculate the benchmark drought indices</w:t>
      </w:r>
    </w:p>
    <w:p>
      <w:pPr>
        <w:pStyle w:val="FirstParagraph"/>
      </w:pPr>
      <w:r>
        <w:t xml:space="preserve">Apply the benchmark threshold (Step 2) to identify drought events in the benchmark time series using the threshold level method (Section 5.4.1) for a selected period. Note that this time period can differ from the reference period used to calculate the benchmark threshold. In this example, we use the period 1981-2000, which equals the period with the main human intervention in the Upper Guadiana catchment.</w:t>
      </w:r>
    </w:p>
    <w:p>
      <w:pPr>
        <w:pStyle w:val="SourceCode"/>
      </w:pPr>
      <w:r>
        <w:rPr>
          <w:rStyle w:val="CommentTok"/>
        </w:rPr>
        <w:t xml:space="preserve"># initialize empty list for events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benchmark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influenced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empty list for final drought characteristics</w:t>
      </w:r>
      <w:r>
        <w:br/>
      </w:r>
      <w:r>
        <w:rPr>
          <w:rStyle w:val="NormalTok"/>
        </w:rPr>
        <w:t xml:space="preserve">drought.char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benchmark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influenced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function that computes the drought characteristics given a table of events</w:t>
      </w:r>
      <w:r>
        <w:br/>
      </w:r>
      <w:r>
        <w:rPr>
          <w:rStyle w:val="NormalTok"/>
        </w:rPr>
        <w:t xml:space="preserve">summarize_dc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"mean.duration"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"mean.deficit"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Consecutive drought events with an inter-event time less than or equal to 10 days are pooled into a single drought event. To remove minor droughts, only drought events with a duration of more than 10 days are kept. The resultant drought indices of the naturalised benchmark time series are: (a) mean duration 91 days, and (b) mean deficit volume 58,000 mm.</w:t>
      </w:r>
    </w:p>
    <w:p>
      <w:pPr>
        <w:pStyle w:val="SourceCode"/>
      </w:pPr>
      <w:r>
        <w:rPr>
          <w:rStyle w:val="DocumentationTok"/>
        </w:rPr>
        <w:t xml:space="preserve">### Calculate the drought events for the benchmark time series</w:t>
      </w:r>
      <w:r>
        <w:br/>
      </w:r>
      <w:r>
        <w:rPr>
          <w:rStyle w:val="DocumentationTok"/>
        </w:rPr>
        <w:t xml:space="preserve">### Filter to 1981-2000</w:t>
      </w:r>
      <w:r>
        <w:br/>
      </w:r>
      <w:r>
        <w:rPr>
          <w:rStyle w:val="DocumentationTok"/>
        </w:rPr>
        <w:t xml:space="preserve">### use the benchmark column as discharge</w:t>
      </w:r>
      <w:r>
        <w:br/>
      </w:r>
      <w:r>
        <w:rPr>
          <w:rStyle w:val="NormalTok"/>
        </w:rPr>
        <w:t xml:space="preserve">events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benchmark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guadiana_full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1981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discharge =</w:t>
      </w:r>
      <w:r>
        <w:rPr>
          <w:rStyle w:val="NormalTok"/>
        </w:rPr>
        <w:t xml:space="preserve"> benchmark)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drought_events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threshold,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pooling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"inter-event"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pooling.pars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min.duration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min.vol.ratio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drought characteristics for the benchmark time series</w:t>
      </w:r>
      <w:r>
        <w:br/>
      </w:r>
      <w:r>
        <w:rPr>
          <w:rStyle w:val="NormalTok"/>
        </w:rPr>
        <w:t xml:space="preserve">drought.char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benchmark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summarize_dc</w:t>
      </w:r>
      <w:r>
        <w:rPr>
          <w:rStyle w:val="NormalTok"/>
        </w:rPr>
        <w:t xml:space="preserve">(events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benchmark)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benchmark)</w:t>
      </w:r>
    </w:p>
    <w:p>
      <w:pPr>
        <w:pStyle w:val="SourceCode"/>
      </w:pPr>
      <w:r>
        <w:rPr>
          <w:rStyle w:val="VerbatimChar"/>
        </w:rPr>
        <w:t xml:space="preserve">## # A tibble: 32 x 9</w:t>
      </w:r>
      <w:r>
        <w:br/>
      </w:r>
      <w:r>
        <w:rPr>
          <w:rStyle w:val="VerbatimChar"/>
        </w:rPr>
        <w:t xml:space="preserve">##    event first.day  last.day   duration dbt       volume  qmin tqmin      pooled</w:t>
      </w:r>
      <w:r>
        <w:br/>
      </w:r>
      <w:r>
        <w:rPr>
          <w:rStyle w:val="VerbatimChar"/>
        </w:rPr>
        <w:t xml:space="preserve">##    &lt;int&gt; &lt;date&gt;     &lt;date&gt;     &lt;drtn&gt;   &lt;drtn&gt;     &lt;dbl&gt; &lt;dbl&gt; &lt;date&gt;      &lt;dbl&gt;</w:t>
      </w:r>
      <w:r>
        <w:br/>
      </w:r>
      <w:r>
        <w:rPr>
          <w:rStyle w:val="VerbatimChar"/>
        </w:rPr>
        <w:t xml:space="preserve">##  1     1 1981-01-01 1981-04-22 112 days 112 days 100349. 0.01  1981-02-04      0</w:t>
      </w:r>
      <w:r>
        <w:br/>
      </w:r>
      <w:r>
        <w:rPr>
          <w:rStyle w:val="VerbatimChar"/>
        </w:rPr>
        <w:t xml:space="preserve">##  2     2 1981-06-09 1981-12-28 203 days 187 days  84024. 0     1981-11-23      4</w:t>
      </w:r>
      <w:r>
        <w:br/>
      </w:r>
      <w:r>
        <w:rPr>
          <w:rStyle w:val="VerbatimChar"/>
        </w:rPr>
        <w:t xml:space="preserve">##  3     5 1982-05-01 1982-06-01  32 days  30 days   7235. 0.017 1982-05-25      1</w:t>
      </w:r>
      <w:r>
        <w:br/>
      </w:r>
      <w:r>
        <w:rPr>
          <w:rStyle w:val="VerbatimChar"/>
        </w:rPr>
        <w:t xml:space="preserve">##  4     6 1982-06-25 1982-10-19 117 days 106 days  14406. 0     1982-10-07      3</w:t>
      </w:r>
      <w:r>
        <w:br/>
      </w:r>
      <w:r>
        <w:rPr>
          <w:rStyle w:val="VerbatimChar"/>
        </w:rPr>
        <w:t xml:space="preserve">##  5     7 1983-01-31 1983-11-22 296 days 296 days 202991. 0     1983-09-20      0</w:t>
      </w:r>
      <w:r>
        <w:br/>
      </w:r>
      <w:r>
        <w:rPr>
          <w:rStyle w:val="VerbatimChar"/>
        </w:rPr>
        <w:t xml:space="preserve">##  6     8 1983-12-03 1983-12-17  15 days  15 days   5915. 0.009 1983-12-13      0</w:t>
      </w:r>
      <w:r>
        <w:br/>
      </w:r>
      <w:r>
        <w:rPr>
          <w:rStyle w:val="VerbatimChar"/>
        </w:rPr>
        <w:t xml:space="preserve">##  7     9 1984-02-17 1984-02-27  11 days  11 days   3787. 0.018 1984-02-22      0</w:t>
      </w:r>
      <w:r>
        <w:br/>
      </w:r>
      <w:r>
        <w:rPr>
          <w:rStyle w:val="VerbatimChar"/>
        </w:rPr>
        <w:t xml:space="preserve">##  8    10 1984-10-22 1984-11-03  13 days  11 days    533. 0.007 1984-10-22      1</w:t>
      </w:r>
      <w:r>
        <w:br/>
      </w:r>
      <w:r>
        <w:rPr>
          <w:rStyle w:val="VerbatimChar"/>
        </w:rPr>
        <w:t xml:space="preserve">##  9    12 1985-10-12 1985-12-25  75 days  66 days  17653. 0.004 1985-11-12      2</w:t>
      </w:r>
      <w:r>
        <w:br/>
      </w:r>
      <w:r>
        <w:rPr>
          <w:rStyle w:val="VerbatimChar"/>
        </w:rPr>
        <w:t xml:space="preserve">## 10    13 1986-11-29 1987-01-11  44 days  44 days  22026. 0.009 1987-01-08      0</w:t>
      </w:r>
      <w:r>
        <w:br/>
      </w:r>
      <w:r>
        <w:rPr>
          <w:rStyle w:val="VerbatimChar"/>
        </w:rPr>
        <w:t xml:space="preserve">## # … with 22 more rows</w:t>
      </w:r>
    </w:p>
    <w:bookmarkEnd w:id="24"/>
    <w:bookmarkStart w:id="26" w:name="X1ee1f4965bc42210227e1d116d6471a8772d009"/>
    <w:p>
      <w:pPr>
        <w:pStyle w:val="Heading1"/>
      </w:pPr>
      <w:r>
        <w:t xml:space="preserve">Calculate the human-influenced drought indices</w:t>
      </w:r>
    </w:p>
    <w:p>
      <w:pPr>
        <w:pStyle w:val="FirstParagraph"/>
      </w:pPr>
      <w:r>
        <w:t xml:space="preserve">Apply the benchmark threshold (Step 2) to identify drought events in the human-influenced time series. Note that we are using the same period (1981-2000) as was used to derive drought indices for the benchmark time series. Furthermore, we are applying the same inter-event criterion and exclusion of minor drought events (Step 3). The resultant drought indices of the human-influenced time series are: (a) mean duration 304 days, and (b) mean deficit volume 310,000 mm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0.xxxx: Benchmark (top) and human-influenced (bottom) flows during the comparison period 1981-2000. The smoothed Q80 threshold is shown in red. Discharge is plotted on a log scale to emphasize low flow behavior." title="" id="1" name="Picture"/>
            <a:graphic>
              <a:graphicData uri="http://schemas.openxmlformats.org/drawingml/2006/picture">
                <pic:pic>
                  <pic:nvPicPr>
                    <pic:cNvPr descr="10-1_human_influenc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10.xxxx: Benchmark (top) and human-influenced (bottom) flows during the comparison period 1981-2000. The smoothed Q80 threshold is shown in red. Discharge is plotted on a log scale to emphasize low flow behavior.</w:t>
      </w:r>
    </w:p>
    <w:p>
      <w:pPr>
        <w:pStyle w:val="SourceCode"/>
      </w:pPr>
      <w:r>
        <w:rPr>
          <w:rStyle w:val="DocumentationTok"/>
        </w:rPr>
        <w:t xml:space="preserve">### Calculate the drought events for the benchmark time series</w:t>
      </w:r>
      <w:r>
        <w:br/>
      </w:r>
      <w:r>
        <w:rPr>
          <w:rStyle w:val="DocumentationTok"/>
        </w:rPr>
        <w:t xml:space="preserve">### Filter to 1981-2000</w:t>
      </w:r>
      <w:r>
        <w:br/>
      </w:r>
      <w:r>
        <w:rPr>
          <w:rStyle w:val="DocumentationTok"/>
        </w:rPr>
        <w:t xml:space="preserve">### use the influenced column as discharge</w:t>
      </w:r>
      <w:r>
        <w:br/>
      </w:r>
      <w:r>
        <w:rPr>
          <w:rStyle w:val="NormalTok"/>
        </w:rPr>
        <w:t xml:space="preserve">events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influenced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guadiana_full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discharge =</w:t>
      </w:r>
      <w:r>
        <w:rPr>
          <w:rStyle w:val="NormalTok"/>
        </w:rPr>
        <w:t xml:space="preserve"> influenced)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drought_events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threshold,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pooling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"inter-event"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pooling.pars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min.duration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min.vol.ratio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drought characteristics for the human influenced time series</w:t>
      </w:r>
      <w:r>
        <w:br/>
      </w:r>
      <w:r>
        <w:rPr>
          <w:rStyle w:val="NormalTok"/>
        </w:rPr>
        <w:t xml:space="preserve">drought.char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influenced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summarize_dc</w:t>
      </w:r>
      <w:r>
        <w:rPr>
          <w:rStyle w:val="NormalTok"/>
        </w:rPr>
        <w:t xml:space="preserve">(events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influenced)</w:t>
      </w:r>
    </w:p>
    <w:bookmarkEnd w:id="26"/>
    <w:bookmarkStart w:id="27" w:name="comparison-of-drought-characteristics"/>
    <w:p>
      <w:pPr>
        <w:pStyle w:val="Heading1"/>
      </w:pPr>
      <w:r>
        <w:t xml:space="preserve">Comparison of drought characteristics</w:t>
      </w:r>
    </w:p>
    <w:p>
      <w:pPr>
        <w:pStyle w:val="FirstParagraph"/>
      </w:pPr>
      <w:r>
        <w:t xml:space="preserve">In this final step, we compare the drought indices between the benchmark and human-influenced time series. We calculate the percentage difference between the two sets of drought indices,</w:t>
      </w:r>
      <w:r>
        <w:t xml:space="preserve"> </w:t>
      </w:r>
      <m:oMath>
        <m:r>
          <m:t>Δ</m:t>
        </m:r>
        <m:r>
          <m:t>D</m:t>
        </m:r>
        <m:r>
          <m:t>C</m:t>
        </m:r>
      </m:oMath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D</m:t>
          </m:r>
          <m:r>
            <m:t>C</m:t>
          </m:r>
          <m: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C</m:t>
                  </m:r>
                </m:e>
                <m:sub>
                  <m:r>
                    <m:t>H</m:t>
                  </m:r>
                  <m:r>
                    <m:t>I</m:t>
                  </m:r>
                </m:sub>
              </m:sSub>
              <m:r>
                <m:t>−</m:t>
              </m:r>
              <m:r>
                <m:t>D</m:t>
              </m:r>
              <m:sSub>
                <m:e>
                  <m:r>
                    <m:t>C</m:t>
                  </m:r>
                </m:e>
                <m:sub>
                  <m:r>
                    <m:t>B</m:t>
                  </m:r>
                  <m:r>
                    <m:t>M</m:t>
                  </m:r>
                </m:sub>
              </m:sSub>
            </m:num>
            <m:den>
              <m:r>
                <m:t>D</m:t>
              </m:r>
              <m:sSub>
                <m:e>
                  <m:r>
                    <m:t>C</m:t>
                  </m:r>
                </m:e>
                <m:sub>
                  <m:r>
                    <m:t>B</m:t>
                  </m:r>
                  <m:r>
                    <m:t>M</m:t>
                  </m:r>
                </m:sub>
              </m:sSub>
            </m:den>
          </m:f>
          <m:r>
            <m:t>⋅</m:t>
          </m:r>
          <m:r>
            <m:t>100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  <m:r>
          <m:t>D</m:t>
        </m:r>
        <m:r>
          <m:t>C</m:t>
        </m:r>
      </m:oMath>
      <w:r>
        <w:t xml:space="preserve"> </w:t>
      </w:r>
      <w:r>
        <w:t xml:space="preserve">is the percentage difference in drought index (DC) between the human-influenced (</w:t>
      </w:r>
      <m:oMath>
        <m:r>
          <m:t>D</m:t>
        </m:r>
        <m:sSub>
          <m:e>
            <m:r>
              <m:t>C</m:t>
            </m:r>
          </m:e>
          <m:sub>
            <m:r>
              <m:t>H</m:t>
            </m:r>
            <m:r>
              <m:t>I</m:t>
            </m:r>
          </m:sub>
        </m:sSub>
      </m:oMath>
      <w:r>
        <w:t xml:space="preserve">) and benchmark (</w:t>
      </w:r>
      <m:oMath>
        <m:r>
          <m:t>D</m:t>
        </m:r>
        <m:sSub>
          <m:e>
            <m:r>
              <m:t>C</m:t>
            </m:r>
          </m:e>
          <m:sub>
            <m:r>
              <m:t>B</m:t>
            </m:r>
            <m:r>
              <m:t>M</m:t>
            </m:r>
          </m:sub>
        </m:sSub>
      </m:oMath>
      <w:r>
        <w:t xml:space="preserve">) time series</w:t>
      </w:r>
    </w:p>
    <w:p>
      <w:pPr>
        <w:pStyle w:val="SourceCode"/>
      </w:pPr>
      <w:r>
        <w:rPr>
          <w:rStyle w:val="NormalTok"/>
        </w:rPr>
        <w:t xml:space="preserve">drought.char</w:t>
      </w:r>
    </w:p>
    <w:p>
      <w:pPr>
        <w:pStyle w:val="SourceCode"/>
      </w:pPr>
      <w:r>
        <w:rPr>
          <w:rStyle w:val="VerbatimChar"/>
        </w:rPr>
        <w:t xml:space="preserve">## $benchmark</w:t>
      </w:r>
      <w:r>
        <w:br/>
      </w:r>
      <w:r>
        <w:rPr>
          <w:rStyle w:val="VerbatimChar"/>
        </w:rPr>
        <w:t xml:space="preserve">## mean.duration  mean.deficit </w:t>
      </w:r>
      <w:r>
        <w:br/>
      </w:r>
      <w:r>
        <w:rPr>
          <w:rStyle w:val="VerbatimChar"/>
        </w:rPr>
        <w:t xml:space="preserve">##      90.59375   57967.00200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$influenced</w:t>
      </w:r>
      <w:r>
        <w:br/>
      </w:r>
      <w:r>
        <w:rPr>
          <w:rStyle w:val="VerbatimChar"/>
        </w:rPr>
        <w:t xml:space="preserve">## mean.duration  mean.deficit </w:t>
      </w:r>
      <w:r>
        <w:br/>
      </w:r>
      <w:r>
        <w:rPr>
          <w:rStyle w:val="VerbatimChar"/>
        </w:rPr>
        <w:t xml:space="preserve">##        304.45     309833.02</w:t>
      </w:r>
    </w:p>
    <w:p>
      <w:pPr>
        <w:pStyle w:val="SourceCode"/>
      </w:pPr>
      <w:r>
        <w:rPr>
          <w:rStyle w:val="NormalTok"/>
        </w:rPr>
        <w:t xml:space="preserve">(drought.char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influenced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drought.char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benchmark)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drought.char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benchmark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mean.duration  mean.deficit </w:t>
      </w:r>
      <w:r>
        <w:br/>
      </w:r>
      <w:r>
        <w:rPr>
          <w:rStyle w:val="VerbatimChar"/>
        </w:rPr>
        <w:t xml:space="preserve">##      236.0607      434.4990</w:t>
      </w:r>
    </w:p>
    <w:p>
      <w:pPr>
        <w:pStyle w:val="FirstParagraph"/>
      </w:pPr>
      <w:r>
        <w:t xml:space="preserve">We find that the difference in mean duration is 236%, and in mean deficit volume it is 434%. To conclude, the mean duration of streamflow droughts in the Upper-Guadiana catchment has increased with about 236% and the mean deficit with 434% in the human-influenced situation compared to the naturalised situation.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the human influence on drought</dc:title>
  <dc:creator>Worked example 10.1</dc:creator>
  <cp:keywords/>
  <dcterms:created xsi:type="dcterms:W3CDTF">2021-12-15T20:42:35Z</dcterms:created>
  <dcterms:modified xsi:type="dcterms:W3CDTF">2021-12-15T20:42:35Z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