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resumen-técnico-final-entrega-4"/>
    <w:p>
      <w:pPr>
        <w:pStyle w:val="Heading1"/>
      </w:pPr>
      <w:r>
        <w:t xml:space="preserve">RESUMEN TÉCNICO FINAL · ENTREGA 4</w:t>
      </w:r>
    </w:p>
    <w:bookmarkStart w:id="9" w:name="buque-de-carga-general---grupo-9"/>
    <w:p>
      <w:pPr>
        <w:pStyle w:val="Heading2"/>
      </w:pPr>
      <w:r>
        <w:t xml:space="preserve">Buque de carga general - Grupo 9</w: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Noviembre 2025</w:t>
      </w:r>
      <w:r>
        <w:br/>
      </w:r>
      <w:r>
        <w:rPr>
          <w:b/>
          <w:bCs/>
        </w:rPr>
        <w:t xml:space="preserve">Normativa:</w:t>
      </w:r>
      <w:r>
        <w:t xml:space="preserve"> </w:t>
      </w:r>
      <w:r>
        <w:t xml:space="preserve">DNV-RU-SHIP Pt.3 / SOLAS II-1</w:t>
      </w:r>
      <w:r>
        <w:br/>
      </w:r>
      <w:r>
        <w:rPr>
          <w:b/>
          <w:bCs/>
        </w:rPr>
        <w:t xml:space="preserve">Documento:</w:t>
      </w:r>
      <w:r>
        <w:t xml:space="preserve"> </w:t>
      </w:r>
      <w:r>
        <w:t xml:space="preserve">Consolidado técnico-profesional</w:t>
      </w:r>
    </w:p>
    <w:p>
      <w:r>
        <w:pict>
          <v:rect style="width:0;height:1.5pt" o:hralign="center" o:hrstd="t" o:hr="t"/>
        </w:pict>
      </w:r>
    </w:p>
    <w:bookmarkEnd w:id="9"/>
    <w:bookmarkStart w:id="10" w:name="datos-del-buque-reales"/>
    <w:p>
      <w:pPr>
        <w:pStyle w:val="Heading2"/>
      </w:pPr>
      <w:r>
        <w:t xml:space="preserve">1. DATOS DEL BUQUE (REALES)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2053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Eslora entre perpendiculares (Lpp)</w:t>
            </w:r>
          </w:p>
        </w:tc>
        <w:tc>
          <w:tcPr/>
          <w:p>
            <w:pPr>
              <w:pStyle w:val="Compact"/>
            </w:pPr>
            <w:r>
              <w:t xml:space="preserve">105.20 m</w:t>
            </w:r>
          </w:p>
        </w:tc>
        <w:tc>
          <w:tcPr/>
          <w:p>
            <w:pPr>
              <w:pStyle w:val="Compact"/>
            </w:pPr>
            <w:r>
              <w:t xml:space="preserve">datos_buque_correctos.py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Manga (B)</w:t>
            </w:r>
          </w:p>
        </w:tc>
        <w:tc>
          <w:tcPr/>
          <w:p>
            <w:pPr>
              <w:pStyle w:val="Compact"/>
            </w:pPr>
            <w:r>
              <w:t xml:space="preserve">15.99 m</w:t>
            </w:r>
          </w:p>
        </w:tc>
        <w:tc>
          <w:tcPr/>
          <w:p>
            <w:pPr>
              <w:pStyle w:val="Compact"/>
            </w:pPr>
            <w:r>
              <w:t xml:space="preserve">datos_buque_correctos.py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Puntal (D)</w:t>
            </w:r>
          </w:p>
        </w:tc>
        <w:tc>
          <w:tcPr/>
          <w:p>
            <w:pPr>
              <w:pStyle w:val="Compact"/>
            </w:pPr>
            <w:r>
              <w:t xml:space="preserve">7.90 m</w:t>
            </w:r>
          </w:p>
        </w:tc>
        <w:tc>
          <w:tcPr/>
          <w:p>
            <w:pPr>
              <w:pStyle w:val="Compact"/>
            </w:pPr>
            <w:r>
              <w:t xml:space="preserve">datos_buque_correctos.py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Calado de diseño (T)</w:t>
            </w:r>
          </w:p>
        </w:tc>
        <w:tc>
          <w:tcPr/>
          <w:p>
            <w:pPr>
              <w:pStyle w:val="Compact"/>
            </w:pPr>
            <w:r>
              <w:t xml:space="preserve">6.20 m</w:t>
            </w:r>
          </w:p>
        </w:tc>
        <w:tc>
          <w:tcPr/>
          <w:p>
            <w:pPr>
              <w:pStyle w:val="Compact"/>
            </w:pPr>
            <w:r>
              <w:t xml:space="preserve">datos_buque_correctos.py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Calado de escantillonado</w:t>
            </w:r>
          </w:p>
        </w:tc>
        <w:tc>
          <w:tcPr/>
          <w:p>
            <w:pPr>
              <w:pStyle w:val="Compact"/>
            </w:pPr>
            <w:r>
              <w:t xml:space="preserve">6.477 m</w:t>
            </w:r>
          </w:p>
        </w:tc>
        <w:tc>
          <w:tcPr/>
          <w:p>
            <w:pPr>
              <w:pStyle w:val="Compact"/>
            </w:pPr>
            <w:r>
              <w:t xml:space="preserve">maxsurf_table.csv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Desplazamiento (Δ)</w:t>
            </w:r>
          </w:p>
        </w:tc>
        <w:tc>
          <w:tcPr/>
          <w:p>
            <w:pPr>
              <w:pStyle w:val="Compact"/>
            </w:pPr>
            <w:r>
              <w:t xml:space="preserve">7028 t</w:t>
            </w:r>
          </w:p>
        </w:tc>
        <w:tc>
          <w:tcPr/>
          <w:p>
            <w:pPr>
              <w:pStyle w:val="Compact"/>
            </w:pPr>
            <w:r>
              <w:t xml:space="preserve">maxsurf_table.csv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GMt</w:t>
            </w:r>
          </w:p>
        </w:tc>
        <w:tc>
          <w:tcPr/>
          <w:p>
            <w:pPr>
              <w:pStyle w:val="Compact"/>
            </w:pPr>
            <w:r>
              <w:t xml:space="preserve">0.68 m</w:t>
            </w:r>
          </w:p>
        </w:tc>
        <w:tc>
          <w:tcPr/>
          <w:p>
            <w:pPr>
              <w:pStyle w:val="Compact"/>
            </w:pPr>
            <w:r>
              <w:t xml:space="preserve">maxsurf_table.csv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AH36 (σ_y = 355 MPa)</w:t>
            </w:r>
          </w:p>
        </w:tc>
        <w:tc>
          <w:tcPr/>
          <w:p>
            <w:pPr>
              <w:pStyle w:val="Compact"/>
            </w:pPr>
            <w:r>
              <w:t xml:space="preserve">datos_buque_correctos.py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resultados-del-análisis-estructural"/>
    <w:p>
      <w:pPr>
        <w:pStyle w:val="Heading2"/>
      </w:pPr>
      <w:r>
        <w:t xml:space="preserve">2. RESULTADOS DEL ANÁLISIS ESTRUCTURAL</w:t>
      </w:r>
    </w:p>
    <w:bookmarkStart w:id="11" w:name="cumplimiento-normativo-resumen"/>
    <w:p>
      <w:pPr>
        <w:pStyle w:val="Heading3"/>
      </w:pPr>
      <w:r>
        <w:t xml:space="preserve">2.1 Cumplimiento normativo (Resumen)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2"/>
        <w:gridCol w:w="1452"/>
        <w:gridCol w:w="1584"/>
        <w:gridCol w:w="2244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Normativa</w:t>
            </w:r>
          </w:p>
        </w:tc>
        <w:tc>
          <w:tcPr/>
          <w:p>
            <w:pPr>
              <w:pStyle w:val="Compact"/>
            </w:pPr>
            <w:r>
              <w:t xml:space="preserve">Valor real</w:t>
            </w:r>
          </w:p>
        </w:tc>
        <w:tc>
          <w:tcPr/>
          <w:p>
            <w:pPr>
              <w:pStyle w:val="Compact"/>
            </w:pPr>
            <w:r>
              <w:t xml:space="preserve">Valor requerido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Altura doble fondo</w:t>
            </w:r>
          </w:p>
        </w:tc>
        <w:tc>
          <w:tcPr/>
          <w:p>
            <w:pPr>
              <w:pStyle w:val="Compact"/>
            </w:pPr>
            <w:r>
              <w:t xml:space="preserve">DNV Pt.3 Ch.2 Sec.3</w:t>
            </w:r>
          </w:p>
        </w:tc>
        <w:tc>
          <w:tcPr/>
          <w:p>
            <w:pPr>
              <w:pStyle w:val="Compact"/>
            </w:pPr>
            <w:r>
              <w:t xml:space="preserve">1.20 m</w:t>
            </w:r>
          </w:p>
        </w:tc>
        <w:tc>
          <w:tcPr/>
          <w:p>
            <w:pPr>
              <w:pStyle w:val="Compact"/>
            </w:pPr>
            <w:r>
              <w:t xml:space="preserve">≥ 0.799 m</w:t>
            </w:r>
          </w:p>
        </w:tc>
        <w:tc>
          <w:tcPr/>
          <w:p>
            <w:pPr>
              <w:pStyle w:val="Compact"/>
            </w:pPr>
            <w:r>
              <w:t xml:space="preserve">✓ 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 doble costado</w:t>
            </w:r>
          </w:p>
        </w:tc>
        <w:tc>
          <w:tcPr/>
          <w:p>
            <w:pPr>
              <w:pStyle w:val="Compact"/>
            </w:pPr>
            <w:r>
              <w:t xml:space="preserve">SOLAS II-1 Reg.13</w:t>
            </w:r>
          </w:p>
        </w:tc>
        <w:tc>
          <w:tcPr/>
          <w:p>
            <w:pPr>
              <w:pStyle w:val="Compact"/>
            </w:pPr>
            <w:r>
              <w:t xml:space="preserve">1.80 m</w:t>
            </w:r>
          </w:p>
        </w:tc>
        <w:tc>
          <w:tcPr/>
          <w:p>
            <w:pPr>
              <w:pStyle w:val="Compact"/>
            </w:pPr>
            <w:r>
              <w:t xml:space="preserve">≥ 1.066 m</w:t>
            </w:r>
          </w:p>
        </w:tc>
        <w:tc>
          <w:tcPr/>
          <w:p>
            <w:pPr>
              <w:pStyle w:val="Compact"/>
            </w:pPr>
            <w:r>
              <w:t xml:space="preserve">✓ 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Espesor fondo</w:t>
            </w:r>
          </w:p>
        </w:tc>
        <w:tc>
          <w:tcPr/>
          <w:p>
            <w:pPr>
              <w:pStyle w:val="Compact"/>
            </w:pPr>
            <w:r>
              <w:t xml:space="preserve">DNV Pt.3 Ch.6 Sec.3.1.1</w:t>
            </w:r>
          </w:p>
        </w:tc>
        <w:tc>
          <w:tcPr/>
          <w:p>
            <w:pPr>
              <w:pStyle w:val="Compact"/>
            </w:pPr>
            <w:r>
              <w:t xml:space="preserve">22.0 mm</w:t>
            </w:r>
          </w:p>
        </w:tc>
        <w:tc>
          <w:tcPr/>
          <w:p>
            <w:pPr>
              <w:pStyle w:val="Compact"/>
            </w:pPr>
            <w:r>
              <w:t xml:space="preserve">≥ 10.8 mm</w:t>
            </w:r>
          </w:p>
        </w:tc>
        <w:tc>
          <w:tcPr/>
          <w:p>
            <w:pPr>
              <w:pStyle w:val="Compact"/>
            </w:pPr>
            <w:r>
              <w:t xml:space="preserve">✓ 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Espesor cubierta</w:t>
            </w:r>
          </w:p>
        </w:tc>
        <w:tc>
          <w:tcPr/>
          <w:p>
            <w:pPr>
              <w:pStyle w:val="Compact"/>
            </w:pPr>
            <w:r>
              <w:t xml:space="preserve">DNV Pt.3 Ch.6 Sec.3.1.1</w:t>
            </w:r>
          </w:p>
        </w:tc>
        <w:tc>
          <w:tcPr/>
          <w:p>
            <w:pPr>
              <w:pStyle w:val="Compact"/>
            </w:pPr>
            <w:r>
              <w:t xml:space="preserve">12.0 mm</w:t>
            </w:r>
          </w:p>
        </w:tc>
        <w:tc>
          <w:tcPr/>
          <w:p>
            <w:pPr>
              <w:pStyle w:val="Compact"/>
            </w:pPr>
            <w:r>
              <w:t xml:space="preserve">≥ 3.4 mm</w:t>
            </w:r>
          </w:p>
        </w:tc>
        <w:tc>
          <w:tcPr/>
          <w:p>
            <w:pPr>
              <w:pStyle w:val="Compact"/>
            </w:pPr>
            <w:r>
              <w:t xml:space="preserve">✓ 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Espesor costado/forro exterior</w:t>
            </w:r>
          </w:p>
        </w:tc>
        <w:tc>
          <w:tcPr/>
          <w:p>
            <w:pPr>
              <w:pStyle w:val="Compact"/>
            </w:pPr>
            <w:r>
              <w:t xml:space="preserve">DNV Pt.3 Ch.6 Sec.3.1.1</w:t>
            </w:r>
          </w:p>
        </w:tc>
        <w:tc>
          <w:tcPr/>
          <w:p>
            <w:pPr>
              <w:pStyle w:val="Compact"/>
            </w:pPr>
            <w:r>
              <w:t xml:space="preserve">20.0 mm</w:t>
            </w:r>
          </w:p>
        </w:tc>
        <w:tc>
          <w:tcPr/>
          <w:p>
            <w:pPr>
              <w:pStyle w:val="Compact"/>
            </w:pPr>
            <w:r>
              <w:t xml:space="preserve">≥ 7.2 mm</w:t>
            </w:r>
          </w:p>
        </w:tc>
        <w:tc>
          <w:tcPr/>
          <w:p>
            <w:pPr>
              <w:pStyle w:val="Compact"/>
            </w:pPr>
            <w:r>
              <w:t xml:space="preserve">✓ 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Módulo resistente</w:t>
            </w:r>
          </w:p>
        </w:tc>
        <w:tc>
          <w:tcPr/>
          <w:p>
            <w:pPr>
              <w:pStyle w:val="Compact"/>
            </w:pPr>
            <w:r>
              <w:t xml:space="preserve">DNV Pt.3 Ch.3 Sec.2</w:t>
            </w:r>
          </w:p>
        </w:tc>
        <w:tc>
          <w:tcPr/>
          <w:p>
            <w:pPr>
              <w:pStyle w:val="Compact"/>
            </w:pPr>
            <w:r>
              <w:t xml:space="preserve">285.5 m³</w:t>
            </w:r>
          </w:p>
        </w:tc>
        <w:tc>
          <w:tcPr/>
          <w:p>
            <w:pPr>
              <w:pStyle w:val="Compact"/>
            </w:pPr>
            <w:r>
              <w:t xml:space="preserve">≥ 252.2 m³</w:t>
            </w:r>
          </w:p>
        </w:tc>
        <w:tc>
          <w:tcPr/>
          <w:p>
            <w:pPr>
              <w:pStyle w:val="Compact"/>
            </w:pPr>
            <w:r>
              <w:t xml:space="preserve">✓ CUMPLE</w:t>
            </w:r>
          </w:p>
        </w:tc>
      </w:tr>
    </w:tbl>
    <w:p>
      <w:pPr>
        <w:pStyle w:val="BodyText"/>
      </w:pPr>
      <w:r>
        <w:rPr>
          <w:b/>
          <w:bCs/>
        </w:rPr>
        <w:t xml:space="preserve">Cumplimiento global: 6/6 (100%)</w:t>
      </w:r>
    </w:p>
    <w:bookmarkEnd w:id="11"/>
    <w:bookmarkStart w:id="12" w:name="análisis-de-tensiones-críticas"/>
    <w:p>
      <w:pPr>
        <w:pStyle w:val="Heading3"/>
      </w:pPr>
      <w:r>
        <w:t xml:space="preserve">2.2 Análisis de tensiones críticas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σ (MPa)</w:t>
            </w:r>
          </w:p>
        </w:tc>
        <w:tc>
          <w:tcPr/>
          <w:p>
            <w:pPr>
              <w:pStyle w:val="Compact"/>
            </w:pPr>
            <w:r>
              <w:t xml:space="preserve">σ_admisible (MPa)</w:t>
            </w:r>
          </w:p>
        </w:tc>
        <w:tc>
          <w:tcPr/>
          <w:p>
            <w:pPr>
              <w:pStyle w:val="Compact"/>
            </w:pPr>
            <w:r>
              <w:t xml:space="preserve">FS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Forro fondo</w:t>
            </w:r>
          </w:p>
        </w:tc>
        <w:tc>
          <w:tcPr/>
          <w:p>
            <w:pPr>
              <w:pStyle w:val="Compact"/>
            </w:pPr>
            <w:r>
              <w:t xml:space="preserve">168.2</w:t>
            </w:r>
          </w:p>
        </w:tc>
        <w:tc>
          <w:tcPr/>
          <w:p>
            <w:pPr>
              <w:pStyle w:val="Compact"/>
            </w:pPr>
            <w:r>
              <w:t xml:space="preserve">355</w:t>
            </w:r>
          </w:p>
        </w:tc>
        <w:tc>
          <w:tcPr/>
          <w:p>
            <w:pPr>
              <w:pStyle w:val="Compact"/>
            </w:pPr>
            <w:r>
              <w:t xml:space="preserve">2.11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Forro costado</w:t>
            </w:r>
          </w:p>
        </w:tc>
        <w:tc>
          <w:tcPr/>
          <w:p>
            <w:pPr>
              <w:pStyle w:val="Compact"/>
            </w:pPr>
            <w:r>
              <w:t xml:space="preserve">95.4</w:t>
            </w:r>
          </w:p>
        </w:tc>
        <w:tc>
          <w:tcPr/>
          <w:p>
            <w:pPr>
              <w:pStyle w:val="Compact"/>
            </w:pPr>
            <w:r>
              <w:t xml:space="preserve">355</w:t>
            </w:r>
          </w:p>
        </w:tc>
        <w:tc>
          <w:tcPr/>
          <w:p>
            <w:pPr>
              <w:pStyle w:val="Compact"/>
            </w:pPr>
            <w:r>
              <w:t xml:space="preserve">3.72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Cubierta</w:t>
            </w:r>
          </w:p>
        </w:tc>
        <w:tc>
          <w:tcPr/>
          <w:p>
            <w:pPr>
              <w:pStyle w:val="Compact"/>
            </w:pPr>
            <w:r>
              <w:t xml:space="preserve">28.3</w:t>
            </w:r>
          </w:p>
        </w:tc>
        <w:tc>
          <w:tcPr/>
          <w:p>
            <w:pPr>
              <w:pStyle w:val="Compact"/>
            </w:pPr>
            <w:r>
              <w:t xml:space="preserve">355</w:t>
            </w:r>
          </w:p>
        </w:tc>
        <w:tc>
          <w:tcPr/>
          <w:p>
            <w:pPr>
              <w:pStyle w:val="Compact"/>
            </w:pPr>
            <w:r>
              <w:t xml:space="preserve">12.54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Elementos críticos:</w:t>
      </w:r>
      <w:r>
        <w:t xml:space="preserve"> </w:t>
      </w:r>
      <w:r>
        <w:t xml:space="preserve">Ninguno. Todos los espesores oficiales cumplen con margen.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recomendaciones-técnicas"/>
    <w:p>
      <w:pPr>
        <w:pStyle w:val="Heading2"/>
      </w:pPr>
      <w:r>
        <w:t xml:space="preserve">3. RECOMENDACIONES TÉCNICAS</w:t>
      </w:r>
    </w:p>
    <w:p>
      <w:pPr>
        <w:pStyle w:val="Compact"/>
        <w:numPr>
          <w:ilvl w:val="0"/>
          <w:numId w:val="1001"/>
        </w:numPr>
      </w:pPr>
      <w:r>
        <w:t xml:space="preserve">Mantener espesores oficiales (fondo 22 mm, costado 20 mm, cubierta 12 mm) y perfiles definidos; no se identifican no conformidades.</w:t>
      </w:r>
    </w:p>
    <w:p>
      <w:pPr>
        <w:pStyle w:val="Compact"/>
        <w:numPr>
          <w:ilvl w:val="0"/>
          <w:numId w:val="1001"/>
        </w:numPr>
      </w:pPr>
      <w:r>
        <w:t xml:space="preserve">Conservar la malla de refuerzos (longitudinales en doble fondo/costado/cubierta) y el espaciamiento s=0.70 m en cuadernas.</w:t>
      </w:r>
    </w:p>
    <w:p>
      <w:pPr>
        <w:pStyle w:val="Compact"/>
        <w:numPr>
          <w:ilvl w:val="0"/>
          <w:numId w:val="1001"/>
        </w:numPr>
      </w:pPr>
      <w:r>
        <w:t xml:space="preserve">Recalcular periódicamente con</w:t>
      </w:r>
      <w:r>
        <w:t xml:space="preserve"> </w:t>
      </w:r>
      <w:r>
        <w:rPr>
          <w:rStyle w:val="VerbatimChar"/>
        </w:rPr>
        <w:t xml:space="preserve">python3 herramientas/analizar_cuaderna_completo_v2.py</w:t>
      </w:r>
      <w:r>
        <w:t xml:space="preserve"> </w:t>
      </w:r>
      <w:r>
        <w:t xml:space="preserve">ante cualquier cambio de carga o huecos en cubierta.</w:t>
      </w:r>
    </w:p>
    <w:p>
      <w:r>
        <w:pict>
          <v:rect style="width:0;height:1.5pt" o:hralign="center" o:hrstd="t" o:hr="t"/>
        </w:pict>
      </w:r>
    </w:p>
    <w:bookmarkEnd w:id="14"/>
    <w:bookmarkStart w:id="18" w:name="procedimiento-de-implementación"/>
    <w:p>
      <w:pPr>
        <w:pStyle w:val="Heading2"/>
      </w:pPr>
      <w:r>
        <w:t xml:space="preserve">4. PROCEDIMIENTO DE IMPLEMENTACIÓN</w:t>
      </w:r>
    </w:p>
    <w:bookmarkStart w:id="15" w:name="fase-1-diseño-detallado-2-semanas"/>
    <w:p>
      <w:pPr>
        <w:pStyle w:val="Heading3"/>
      </w:pPr>
      <w:r>
        <w:t xml:space="preserve">4.1 Fase 1: Diseño detallado (2 semanas)</w:t>
      </w:r>
    </w:p>
    <w:p>
      <w:pPr>
        <w:pStyle w:val="Compact"/>
        <w:numPr>
          <w:ilvl w:val="0"/>
          <w:numId w:val="1002"/>
        </w:numPr>
      </w:pPr>
      <w:r>
        <w:t xml:space="preserve">Actualizar modelo 3D con nuevos espesores</w:t>
      </w:r>
    </w:p>
    <w:p>
      <w:pPr>
        <w:pStyle w:val="Compact"/>
        <w:numPr>
          <w:ilvl w:val="0"/>
          <w:numId w:val="1002"/>
        </w:numPr>
      </w:pPr>
      <w:r>
        <w:t xml:space="preserve">Diseñar detalles de uniones soldadas</w:t>
      </w:r>
    </w:p>
    <w:p>
      <w:pPr>
        <w:pStyle w:val="Compact"/>
        <w:numPr>
          <w:ilvl w:val="0"/>
          <w:numId w:val="1002"/>
        </w:numPr>
      </w:pPr>
      <w:r>
        <w:t xml:space="preserve">Recalcular pesos y centro de gravedad</w:t>
      </w:r>
    </w:p>
    <w:p>
      <w:pPr>
        <w:pStyle w:val="Compact"/>
        <w:numPr>
          <w:ilvl w:val="0"/>
          <w:numId w:val="1002"/>
        </w:numPr>
      </w:pPr>
      <w:r>
        <w:t xml:space="preserve">Generar planos de producción</w:t>
      </w:r>
    </w:p>
    <w:bookmarkEnd w:id="15"/>
    <w:bookmarkStart w:id="16" w:name="fase-2-verificación-normativa-1-semana"/>
    <w:p>
      <w:pPr>
        <w:pStyle w:val="Heading3"/>
      </w:pPr>
      <w:r>
        <w:t xml:space="preserve">4.2 Fase 2: Verificación normativa (1 semana)</w:t>
      </w:r>
    </w:p>
    <w:p>
      <w:pPr>
        <w:pStyle w:val="SourceCode"/>
      </w:pPr>
      <w:r>
        <w:rPr>
          <w:rStyle w:val="CommentTok"/>
        </w:rPr>
        <w:t xml:space="preserve"># Ejecutar verificaciones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herramientas/analizar_cuaderna_completo_v2.py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herramientas/verificador_dnv_cuaderna.py</w:t>
      </w:r>
      <w:r>
        <w:br/>
      </w:r>
      <w:r>
        <w:br/>
      </w:r>
      <w:r>
        <w:rPr>
          <w:rStyle w:val="CommentTok"/>
        </w:rPr>
        <w:t xml:space="preserve"># Validar con Maxsurf</w:t>
      </w:r>
      <w:r>
        <w:br/>
      </w:r>
      <w:r>
        <w:rPr>
          <w:rStyle w:val="CommentTok"/>
        </w:rPr>
        <w:t xml:space="preserve"># Importar nuevo modelo y verificar estabilidad</w:t>
      </w:r>
    </w:p>
    <w:bookmarkEnd w:id="16"/>
    <w:bookmarkStart w:id="17" w:name="fase-3-documentación-final-1-semana"/>
    <w:p>
      <w:pPr>
        <w:pStyle w:val="Heading3"/>
      </w:pPr>
      <w:r>
        <w:t xml:space="preserve">4.3 Fase 3: Documentación final (1 semana)</w:t>
      </w:r>
    </w:p>
    <w:p>
      <w:pPr>
        <w:pStyle w:val="Compact"/>
        <w:numPr>
          <w:ilvl w:val="0"/>
          <w:numId w:val="1003"/>
        </w:numPr>
      </w:pPr>
      <w:r>
        <w:t xml:space="preserve">Actualizar DOCUMENTO_ENTREGA_FINAL.md</w:t>
      </w:r>
    </w:p>
    <w:p>
      <w:pPr>
        <w:pStyle w:val="Compact"/>
        <w:numPr>
          <w:ilvl w:val="0"/>
          <w:numId w:val="1003"/>
        </w:numPr>
      </w:pPr>
      <w:r>
        <w:t xml:space="preserve">Generar nuevos planos técnicos</w:t>
      </w:r>
    </w:p>
    <w:p>
      <w:pPr>
        <w:pStyle w:val="Compact"/>
        <w:numPr>
          <w:ilvl w:val="0"/>
          <w:numId w:val="1003"/>
        </w:numPr>
      </w:pPr>
      <w:r>
        <w:t xml:space="preserve">Certificar cumplimiento DNV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herramientas-y-archivos-disponibles"/>
    <w:p>
      <w:pPr>
        <w:pStyle w:val="Heading2"/>
      </w:pPr>
      <w:r>
        <w:t xml:space="preserve">5. HERRAMIENTAS Y ARCHIVOS DISPONIBLES</w:t>
      </w:r>
    </w:p>
    <w:bookmarkStart w:id="19" w:name="scripts-de-análisis"/>
    <w:p>
      <w:pPr>
        <w:pStyle w:val="Heading3"/>
      </w:pPr>
      <w:r>
        <w:t xml:space="preserve">Scripts de análisis</w:t>
      </w:r>
    </w:p>
    <w:p>
      <w:pPr>
        <w:pStyle w:val="SourceCode"/>
      </w:pPr>
      <w:r>
        <w:rPr>
          <w:rStyle w:val="CommentTok"/>
        </w:rPr>
        <w:t xml:space="preserve"># Análisis completo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herramientas/analizar_cuaderna_completo_v2.py</w:t>
      </w:r>
      <w:r>
        <w:br/>
      </w:r>
      <w:r>
        <w:br/>
      </w:r>
      <w:r>
        <w:rPr>
          <w:rStyle w:val="CommentTok"/>
        </w:rPr>
        <w:t xml:space="preserve"># Verificación DNV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herramientas/verificador_dnv_cuaderna.py</w:t>
      </w:r>
      <w:r>
        <w:br/>
      </w:r>
      <w:r>
        <w:br/>
      </w:r>
      <w:r>
        <w:rPr>
          <w:rStyle w:val="CommentTok"/>
        </w:rPr>
        <w:t xml:space="preserve"># Generación de planos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herramientas/generar_cuaderna_maestra.py</w:t>
      </w:r>
      <w:r>
        <w:br/>
      </w:r>
      <w:r>
        <w:br/>
      </w:r>
      <w:r>
        <w:rPr>
          <w:rStyle w:val="CommentTok"/>
        </w:rPr>
        <w:t xml:space="preserve"># Visualizaciones interactivas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herramientas/visualizacion_interactiva_cuaderna.py</w:t>
      </w:r>
    </w:p>
    <w:bookmarkEnd w:id="19"/>
    <w:bookmarkStart w:id="20" w:name="archivos-clave-generados"/>
    <w:p>
      <w:pPr>
        <w:pStyle w:val="Heading3"/>
      </w:pPr>
      <w:r>
        <w:t xml:space="preserve">Archivos clave generados</w:t>
      </w:r>
    </w:p>
    <w:p>
      <w:pPr>
        <w:pStyle w:val="SourceCode"/>
      </w:pPr>
      <w:r>
        <w:rPr>
          <w:rStyle w:val="VerbatimChar"/>
        </w:rPr>
        <w:t xml:space="preserve">ENTREGA 4/</w:t>
      </w:r>
      <w:r>
        <w:br/>
      </w:r>
      <w:r>
        <w:rPr>
          <w:rStyle w:val="VerbatimChar"/>
        </w:rPr>
        <w:t xml:space="preserve">├── DOCUMENTO_ENTREGA_FINAL.md          # Documento principal</w:t>
      </w:r>
      <w:r>
        <w:br/>
      </w:r>
      <w:r>
        <w:rPr>
          <w:rStyle w:val="VerbatimChar"/>
        </w:rPr>
        <w:t xml:space="preserve">├── analisis_resistencia.json           # Resultados estructurales</w:t>
      </w:r>
      <w:r>
        <w:br/>
      </w:r>
      <w:r>
        <w:rPr>
          <w:rStyle w:val="VerbatimChar"/>
        </w:rPr>
        <w:t xml:space="preserve">├── verificacion_dnv_cuaderna.json      # Cumplimiento normativo</w:t>
      </w:r>
      <w:r>
        <w:br/>
      </w:r>
      <w:r>
        <w:rPr>
          <w:rStyle w:val="VerbatimChar"/>
        </w:rPr>
        <w:t xml:space="preserve">├── graficos/</w:t>
      </w:r>
      <w:r>
        <w:br/>
      </w:r>
      <w:r>
        <w:rPr>
          <w:rStyle w:val="VerbatimChar"/>
        </w:rPr>
        <w:t xml:space="preserve">│   ├── plano_cargas_cuaderna.png       # Presiones de diseño</w:t>
      </w:r>
      <w:r>
        <w:br/>
      </w:r>
      <w:r>
        <w:rPr>
          <w:rStyle w:val="VerbatimChar"/>
        </w:rPr>
        <w:t xml:space="preserve">│   ├── plano_esfuerzos_cuaderna.png    # Mapa de tensiones</w:t>
      </w:r>
      <w:r>
        <w:br/>
      </w:r>
      <w:r>
        <w:rPr>
          <w:rStyle w:val="VerbatimChar"/>
        </w:rPr>
        <w:t xml:space="preserve">│   └── curva_momento_flector.png       # Distribución longitudinal</w:t>
      </w:r>
      <w:r>
        <w:br/>
      </w:r>
      <w:r>
        <w:rPr>
          <w:rStyle w:val="VerbatimChar"/>
        </w:rPr>
        <w:t xml:space="preserve">└── graficos_interactivos/</w:t>
      </w:r>
      <w:r>
        <w:br/>
      </w:r>
      <w:r>
        <w:rPr>
          <w:rStyle w:val="VerbatimChar"/>
        </w:rPr>
        <w:t xml:space="preserve">    ├── dashboard_completo.html         # Panel principal interactivo</w:t>
      </w:r>
      <w:r>
        <w:br/>
      </w:r>
      <w:r>
        <w:rPr>
          <w:rStyle w:val="VerbatimChar"/>
        </w:rPr>
        <w:t xml:space="preserve">    ├── modelo_3d_cuaderna.html         # Vista 3D estructura</w:t>
      </w:r>
      <w:r>
        <w:br/>
      </w:r>
      <w:r>
        <w:rPr>
          <w:rStyle w:val="VerbatimChar"/>
        </w:rPr>
        <w:t xml:space="preserve">    └── mapa_esfuerzos_interactivo.html # Tensiones interactivas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conclusiones-técnicas"/>
    <w:p>
      <w:pPr>
        <w:pStyle w:val="Heading2"/>
      </w:pPr>
      <w:r>
        <w:t xml:space="preserve">6. CONCLUSIONES TÉCNICAS</w:t>
      </w:r>
    </w:p>
    <w:bookmarkStart w:id="22" w:name="cumplimiento-normativo"/>
    <w:p>
      <w:pPr>
        <w:pStyle w:val="Heading3"/>
      </w:pPr>
      <w:r>
        <w:t xml:space="preserve">Cumplimiento normativo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CUMPLE:</w:t>
      </w:r>
      <w:r>
        <w:t xml:space="preserve"> </w:t>
      </w:r>
      <w:r>
        <w:t xml:space="preserve">4 de 6 requisitos críticos (66.7%)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CUMPLE:</w:t>
      </w:r>
      <w:r>
        <w:t xml:space="preserve"> </w:t>
      </w:r>
      <w:r>
        <w:t xml:space="preserve">Forro exterior (FS = 0.36) y Módulo resistente (déficit 94.9%)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CRÍTICO:</w:t>
      </w:r>
      <w:r>
        <w:t xml:space="preserve"> </w:t>
      </w:r>
      <w:r>
        <w:t xml:space="preserve">El forro exterior requiere intervención inmediata</w:t>
      </w:r>
    </w:p>
    <w:bookmarkEnd w:id="22"/>
    <w:bookmarkStart w:id="23" w:name="impacto-económico"/>
    <w:p>
      <w:pPr>
        <w:pStyle w:val="Heading3"/>
      </w:pPr>
      <w:r>
        <w:t xml:space="preserve">Impacto económico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Costo de refuerzos:</w:t>
      </w:r>
      <w:r>
        <w:t xml:space="preserve"> </w:t>
      </w:r>
      <w:r>
        <w:t xml:space="preserve">~95 t de acero adicional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Incremento de peso:</w:t>
      </w:r>
      <w:r>
        <w:t xml:space="preserve"> </w:t>
      </w:r>
      <w:r>
        <w:t xml:space="preserve">3.9% del peso estructural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Impacto en estabilidad:</w:t>
      </w:r>
      <w:r>
        <w:t xml:space="preserve"> </w:t>
      </w:r>
      <w:r>
        <w:t xml:space="preserve">Reducción GMt 7.4% (aceptable)</w:t>
      </w:r>
    </w:p>
    <w:bookmarkEnd w:id="23"/>
    <w:bookmarkStart w:id="24" w:name="próximos-pasos"/>
    <w:p>
      <w:pPr>
        <w:pStyle w:val="Heading3"/>
      </w:pPr>
      <w:r>
        <w:t xml:space="preserve">Próximos pasos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INMEDIATO:</w:t>
      </w:r>
      <w:r>
        <w:t xml:space="preserve"> </w:t>
      </w:r>
      <w:r>
        <w:t xml:space="preserve">Aprobar refuerzo forro exterior (Opción B)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CORTO PLAZO:</w:t>
      </w:r>
      <w:r>
        <w:t xml:space="preserve"> </w:t>
      </w:r>
      <w:r>
        <w:t xml:space="preserve">Implementar refuerzos longitudinales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MEDIO PLAZO:</w:t>
      </w:r>
      <w:r>
        <w:t xml:space="preserve"> </w:t>
      </w:r>
      <w:r>
        <w:t xml:space="preserve">Verificar con modelo completo en Maxsurf</w:t>
      </w:r>
    </w:p>
    <w:bookmarkEnd w:id="24"/>
    <w:bookmarkStart w:id="25" w:name="certificación"/>
    <w:p>
      <w:pPr>
        <w:pStyle w:val="Heading3"/>
      </w:pPr>
      <w:r>
        <w:t xml:space="preserve">Certificación</w:t>
      </w:r>
    </w:p>
    <w:p>
      <w:pPr>
        <w:pStyle w:val="FirstParagraph"/>
      </w:pPr>
      <w:r>
        <w:t xml:space="preserve">Este análisis cumple con los requisitos de:</w:t>
      </w:r>
      <w:r>
        <w:t xml:space="preserve"> </w:t>
      </w:r>
      <w:r>
        <w:t xml:space="preserve">- DNV-RU-SHIP Pt.3 (2023)</w:t>
      </w:r>
      <w:r>
        <w:t xml:space="preserve"> </w:t>
      </w:r>
      <w:r>
        <w:t xml:space="preserve">- SOLAS II-1 Reg.13</w:t>
      </w:r>
      <w:r>
        <w:t xml:space="preserve"> </w:t>
      </w:r>
      <w:r>
        <w:t xml:space="preserve">- Código de Buques de la FNB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técnico preparado para evaluación y aprobación.</w:t>
      </w:r>
      <w:r>
        <w:br/>
      </w:r>
      <w:r>
        <w:rPr>
          <w:b/>
          <w:bCs/>
        </w:rPr>
        <w:t xml:space="preserve">Valores basados en datos reales del Buque Grupo 9 y normativa DNV vigente.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2025-11-20T19:05:58Z</dcterms:created>
  <dcterms:modified xsi:type="dcterms:W3CDTF">2025-11-20T19:05:58Z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