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HEALTH AND SAFETY FILE - CONTRIBUTIONS LOG</w:t>
            </w:r>
          </w:p>
        </w:tc>
      </w:tr>
    </w:tbl>
    <w:p>
      <w:pPr>
        <w:spacing w:after="80"/>
      </w:pPr>
    </w:p>
    <w:p>
      <w:pPr>
        <w:spacing w:after="100"/>
      </w:pPr>
      <w:r>
        <w:rPr>
          <w:sz w:val="22"/>
          <w:szCs w:val="22"/>
        </w:rPr>
        <w:t xml:space="preserve">CDM 2015 requires the Principal Contractor to provide information for inclusion in the Health and Safety File, which is compiled by the Principal Designer (3bd Architects LLP) for handover to the Client.</w:t>
      </w:r>
    </w:p>
    <w:p>
      <w:pPr>
        <w:spacing w:after="80"/>
      </w:pPr>
    </w:p>
    <w:p>
      <w:pPr>
        <w:pStyle w:val="Heading2"/>
      </w:pPr>
      <w:r>
        <w:t xml:space="preserve">Information Required for the H&amp;S File</w:t>
      </w:r>
    </w:p>
    <w:p>
      <w:pPr>
        <w:pStyle w:val="ListParagraph"/>
        <w:numPr>
          <w:ilvl w:val="0"/>
          <w:numId w:val="2"/>
        </w:numPr>
        <w:spacing w:after="60"/>
      </w:pPr>
      <w:r>
        <w:rPr>
          <w:sz w:val="22"/>
          <w:szCs w:val="22"/>
        </w:rPr>
        <w:t xml:space="preserve">As-built drawings and plans</w:t>
      </w:r>
    </w:p>
    <w:p>
      <w:pPr>
        <w:pStyle w:val="ListParagraph"/>
        <w:numPr>
          <w:ilvl w:val="0"/>
          <w:numId w:val="2"/>
        </w:numPr>
        <w:spacing w:after="60"/>
      </w:pPr>
      <w:r>
        <w:rPr>
          <w:sz w:val="22"/>
          <w:szCs w:val="22"/>
        </w:rPr>
        <w:t xml:space="preserve">Details of structural elements (steelwork, foundations, loadbearing walls)</w:t>
      </w:r>
    </w:p>
    <w:p>
      <w:pPr>
        <w:pStyle w:val="ListParagraph"/>
        <w:numPr>
          <w:ilvl w:val="0"/>
          <w:numId w:val="2"/>
        </w:numPr>
        <w:spacing w:after="60"/>
      </w:pPr>
      <w:r>
        <w:rPr>
          <w:sz w:val="22"/>
          <w:szCs w:val="22"/>
        </w:rPr>
        <w:t xml:space="preserve">Details of building services (electrical, plumbing, heating, ventilation)</w:t>
      </w:r>
    </w:p>
    <w:p>
      <w:pPr>
        <w:pStyle w:val="ListParagraph"/>
        <w:numPr>
          <w:ilvl w:val="0"/>
          <w:numId w:val="2"/>
        </w:numPr>
        <w:spacing w:after="60"/>
      </w:pPr>
      <w:r>
        <w:rPr>
          <w:sz w:val="22"/>
          <w:szCs w:val="22"/>
        </w:rPr>
        <w:t xml:space="preserve">Information about materials used (especially hazardous substances)</w:t>
      </w:r>
    </w:p>
    <w:p>
      <w:pPr>
        <w:pStyle w:val="ListParagraph"/>
        <w:numPr>
          <w:ilvl w:val="0"/>
          <w:numId w:val="2"/>
        </w:numPr>
        <w:spacing w:after="60"/>
      </w:pPr>
      <w:r>
        <w:rPr>
          <w:sz w:val="22"/>
          <w:szCs w:val="22"/>
        </w:rPr>
        <w:t xml:space="preserve">Maintenance schedules and cleaning procedures for installed systems</w:t>
      </w:r>
    </w:p>
    <w:p>
      <w:pPr>
        <w:pStyle w:val="ListParagraph"/>
        <w:numPr>
          <w:ilvl w:val="0"/>
          <w:numId w:val="2"/>
        </w:numPr>
        <w:spacing w:after="60"/>
      </w:pPr>
      <w:r>
        <w:rPr>
          <w:sz w:val="22"/>
          <w:szCs w:val="22"/>
        </w:rPr>
        <w:t xml:space="preserve">Manufacturers' operating and maintenance manuals</w:t>
      </w:r>
    </w:p>
    <w:p>
      <w:pPr>
        <w:pStyle w:val="ListParagraph"/>
        <w:numPr>
          <w:ilvl w:val="0"/>
          <w:numId w:val="2"/>
        </w:numPr>
        <w:spacing w:after="60"/>
      </w:pPr>
      <w:r>
        <w:rPr>
          <w:sz w:val="22"/>
          <w:szCs w:val="22"/>
        </w:rPr>
        <w:t xml:space="preserve">Fire safety information (detection, alarm, suppression systems)</w:t>
      </w:r>
    </w:p>
    <w:p>
      <w:pPr>
        <w:pStyle w:val="ListParagraph"/>
        <w:numPr>
          <w:ilvl w:val="0"/>
          <w:numId w:val="2"/>
        </w:numPr>
        <w:spacing w:after="60"/>
      </w:pPr>
      <w:r>
        <w:rPr>
          <w:sz w:val="22"/>
          <w:szCs w:val="22"/>
        </w:rPr>
        <w:t xml:space="preserve">Asbestos survey results and any ACM management plans</w:t>
      </w:r>
    </w:p>
    <w:p>
      <w:pPr>
        <w:pStyle w:val="ListParagraph"/>
        <w:numPr>
          <w:ilvl w:val="0"/>
          <w:numId w:val="2"/>
        </w:numPr>
        <w:spacing w:after="60"/>
      </w:pPr>
      <w:r>
        <w:rPr>
          <w:sz w:val="22"/>
          <w:szCs w:val="22"/>
        </w:rPr>
        <w:t xml:space="preserve">Details of any residual hazards and how they are controlled</w:t>
      </w:r>
    </w:p>
    <w:p>
      <w:pPr>
        <w:pStyle w:val="ListParagraph"/>
        <w:numPr>
          <w:ilvl w:val="0"/>
          <w:numId w:val="2"/>
        </w:numPr>
        <w:spacing w:after="60"/>
      </w:pPr>
      <w:r>
        <w:rPr>
          <w:sz w:val="22"/>
          <w:szCs w:val="22"/>
        </w:rPr>
        <w:t xml:space="preserve">Emergency and fire procedures for the completed building</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1706"/>
        <w:gridCol w:w="2000"/>
      </w:tblGrid>
      <w:tr>
        <w:tc>
          <w:tcPr>
            <w:tcW w:type="dxa" w:w="1200"/>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b/>
                <w:bCs/>
                <w:color w:val="FFFFFF"/>
                <w:sz w:val="18"/>
                <w:szCs w:val="18"/>
              </w:rPr>
              <w:t xml:space="preserve">Date</w:t>
            </w:r>
          </w:p>
        </w:tc>
        <w:tc>
          <w:tcPr>
            <w:tcW w:type="dxa" w:w="3200"/>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b/>
                <w:bCs/>
                <w:color w:val="FFFFFF"/>
                <w:sz w:val="18"/>
                <w:szCs w:val="18"/>
              </w:rPr>
              <w:t xml:space="preserve">Document/Information</w:t>
            </w:r>
          </w:p>
        </w:tc>
        <w:tc>
          <w:tcPr>
            <w:tcW w:type="dxa" w:w="1800"/>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b/>
                <w:bCs/>
                <w:color w:val="FFFFFF"/>
                <w:sz w:val="18"/>
                <w:szCs w:val="18"/>
              </w:rPr>
              <w:t xml:space="preserve">Provided By</w:t>
            </w:r>
          </w:p>
        </w:tc>
        <w:tc>
          <w:tcPr>
            <w:tcW w:type="dxa" w:w="1706"/>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b/>
                <w:bCs/>
                <w:color w:val="FFFFFF"/>
                <w:sz w:val="18"/>
                <w:szCs w:val="18"/>
              </w:rPr>
              <w:t xml:space="preserve">Forwarded to PD</w:t>
            </w:r>
          </w:p>
        </w:tc>
        <w:tc>
          <w:tcPr>
            <w:tcW w:type="dxa" w:w="2000"/>
            <w:tcBorders>
              <w:top w:val="single" w:color="CCCCCC" w:sz="1"/>
              <w:left w:val="single" w:color="CCCCCC" w:sz="1"/>
              <w:bottom w:val="single" w:color="CCCCCC" w:sz="1"/>
              <w:right w:val="single" w:color="CCCCCC" w:sz="1"/>
            </w:tcBorders>
            <w:shd w:fill="0099CC" w:val="clear"/>
            <w:tcMar>
              <w:top w:type="dxa" w:w="60"/>
              <w:left w:type="dxa" w:w="100"/>
              <w:bottom w:type="dxa" w:w="60"/>
              <w:right w:type="dxa" w:w="100"/>
            </w:tcMar>
          </w:tcPr>
          <w:p>
            <w:pPr>
              <w:jc w:val="center"/>
            </w:pPr>
            <w:r>
              <w:rPr>
                <w:b/>
                <w:bCs/>
                <w:color w:val="FFFFFF"/>
                <w:sz w:val="18"/>
                <w:szCs w:val="18"/>
              </w:rPr>
              <w:t xml:space="preserve">PD Acknowledgement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60"/>
            </w:pPr>
            <w:r>
              <w:rPr>
                <w:sz w:val="18"/>
                <w:szCs w:val="18"/>
              </w:rPr>
              <w:t xml:space="preserve"/>
            </w:r>
          </w:p>
        </w:tc>
      </w:tr>
    </w:tbl>
    <w:sectPr>
      <w:headerReference w:type="default" r:id="rId6"/>
      <w:footerReference w:type="default" r:id="rId7"/>
      <w:pgSz w:w="11906" w:h="16838" w:orient="portrait"/>
      <w:pgMar w:top="12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Oxygen Management Ltd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Ivy House, Bridgwater</w:t>
    </w:r>
    <w:r>
      <w:rPr>
        <w:rFonts w:ascii="Arial" w:cs="Arial" w:eastAsia="Arial" w:hAnsi="Arial"/>
        <w:color w:val="0099CC"/>
        <w:sz w:val="16"/>
        <w:szCs w:val="16"/>
      </w:rPr>
      <w:t xml:space="preserve">  |  H&amp;S File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0099CC"/>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2026-02-06T13:29:49.887Z</dcterms:created>
  <dcterms:modified xsi:type="dcterms:W3CDTF">2026-02-06T13:29:49.887Z</dcterms:modified>
</cp:coreProperties>
</file>

<file path=docProps/custom.xml><?xml version="1.0" encoding="utf-8"?>
<Properties xmlns="http://schemas.openxmlformats.org/officeDocument/2006/custom-properties" xmlns:vt="http://schemas.openxmlformats.org/officeDocument/2006/docPropsVTypes"/>
</file>