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SUB-CONTRACTOR RAMS REGISTER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All sub-contractors must submit their Risk Assessments and Method Statements for review and approval BEFORE commencing any work on site.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900"/>
        <w:gridCol w:w="1200"/>
        <w:gridCol w:w="800"/>
        <w:gridCol w:w="1000"/>
        <w:gridCol w:w="220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Received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Sub-Contractor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Trade/Activity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RAMS 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Approved
(Y/N)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Approved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RAMS must be site-specific to Ivy House, 23 Friarn Street, Bridgwater TA6 3LH.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Generic RAMS are not acceptable and will be returned for revision.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RAMS must reference the Principal Contractor's Construction Phase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Sub-contractors must confirm their operatives have read and understood their RAMS.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Any changes to working methods require updated RAMS to be submitted and approved.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Copies of approved RAMS are held in the site H&amp;S documentation file.</w:t>
      </w:r>
    </w:p>
    <w:sectPr>
      <w:headerReference w:type="default" r:id="rId6"/>
      <w:footerReference w:type="default" r:id="rId7"/>
      <w:pgSz w:w="11906" w:h="16838" w:orient="portrait"/>
      <w:pgMar w:top="12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Oxygen Management Ltd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Ivy House, Bridgwater</w:t>
    </w:r>
    <w:r>
      <w:rPr>
        <w:rFonts w:ascii="Arial" w:cs="Arial" w:eastAsia="Arial" w:hAnsi="Arial"/>
        <w:color w:val="0099CC"/>
        <w:sz w:val="16"/>
        <w:szCs w:val="16"/>
      </w:rPr>
      <w:t xml:space="preserve">  |  RAMS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0099C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2026-02-06T13:28:12.105Z</dcterms:created>
  <dcterms:modified xsi:type="dcterms:W3CDTF">2026-02-06T13:28:12.105Z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