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신상품 광고물 사전심의 절차</w:t>
      </w:r>
    </w:p>
    <w:p>
      <w:r>
        <w:t>신상품 광고물 사전심의는 마케팅팀 담당자가 접수 후 3영업일 이내 처리한다.</w:t>
      </w:r>
    </w:p>
    <w:p>
      <w:pPr>
        <w:pStyle w:val="Heading2"/>
      </w:pPr>
      <w:r>
        <w:t>일반 심의 세부절차</w:t>
      </w:r>
    </w:p>
    <w:p>
      <w:r>
        <w:t>① 접수 ② 검토 ③ 승인</w:t>
      </w:r>
    </w:p>
    <w:p>
      <w:pPr>
        <w:pStyle w:val="Heading2"/>
      </w:pPr>
      <w:r>
        <w:t>특별점검 세부절차</w:t>
      </w:r>
    </w:p>
    <w:p>
      <w:r>
        <w:t>① 현장점검 ② 결과보고 ③ 시정조치</w:t>
      </w:r>
    </w:p>
    <w:p>
      <w:r>
        <w:t>PF(프로젝트 파이낸싱)★ 대출은 승인 대상에서 제외되며(★: 고위험군을 의미), 준법감시인(CCO, Chief Compliance Officer)이 최종 확인한다.</w:t>
      </w:r>
    </w:p>
    <w:p>
      <w:r>
        <w:t>동 규정은 갑(甲, 발행사)과 을(乙, 대행사) 간 계약에 적용된다.</w:t>
      </w:r>
    </w:p>
    <w:p>
      <w:r>
        <w:t>적합성 원칙 준수 여부: O(준수)   설명의무 이행 여부: X(미이행)</w:t>
      </w:r>
    </w:p>
    <w:p>
      <w:r>
        <w:rPr>
          <w:b/>
        </w:rPr>
        <w:t>반드시 준수해야 하는 핵심 조항</w:t>
      </w:r>
    </w:p>
    <w:p>
      <w:pPr>
        <w:pStyle w:val="Heading1"/>
      </w:pPr>
      <w:r>
        <w:t>월별 대출 실적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구분</w:t>
            </w:r>
          </w:p>
        </w:tc>
        <w:tc>
          <w:tcPr>
            <w:tcW w:type="dxa" w:w="2160"/>
          </w:tcPr>
          <w:p>
            <w:r>
              <w:t>2025년 상반기 1월(억원)</w:t>
            </w:r>
          </w:p>
        </w:tc>
        <w:tc>
          <w:tcPr>
            <w:tcW w:type="dxa" w:w="2160"/>
          </w:tcPr>
          <w:p>
            <w:r>
              <w:t>2025년 상반기 2월(억원)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저축은행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322</w:t>
            </w:r>
          </w:p>
        </w:tc>
        <w:tc>
          <w:tcPr>
            <w:tcW w:type="dxa" w:w="2160"/>
          </w:tcPr>
          <w:p>
            <w:r>
              <w:t>전월대비 감소</w:t>
            </w:r>
          </w:p>
        </w:tc>
      </w:tr>
      <w:tr>
        <w:tc>
          <w:tcPr>
            <w:tcW w:type="dxa" w:w="2160"/>
          </w:tcPr>
          <w:p>
            <w:r>
              <w:t>인터넷은행</w:t>
            </w:r>
          </w:p>
        </w:tc>
        <w:tc>
          <w:tcPr>
            <w:tcW w:type="dxa" w:w="2160"/>
          </w:tcPr>
          <w:p>
            <w:r>
              <w:t>3329</w:t>
            </w:r>
          </w:p>
        </w:tc>
        <w:tc>
          <w:tcPr>
            <w:tcW w:type="dxa" w:w="2160"/>
          </w:tcPr>
          <w:p>
            <w:r>
              <w:t>2605</w:t>
            </w:r>
          </w:p>
        </w:tc>
        <w:tc>
          <w:tcPr>
            <w:tcW w:type="dxa" w:w="2160"/>
          </w:tcPr>
          <w:p>
            <w:r>
              <w:t>전월대비 감소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