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신상품 광고물 사전심의는 마케팅팀 담당자가 접수 후 3영업일 이내 처리한다.</w:t>
      </w:r>
    </w:p>
    <w:p>
      <w:pPr>
        <w:pStyle w:val="Heading2"/>
      </w:pPr>
      <w:r>
        <w:t>세부절차</w:t>
      </w:r>
    </w:p>
    <w:p>
      <w:r>
        <w:t>① 접수 ② 검토 ③ 승인</w:t>
      </w:r>
    </w:p>
    <w:p>
      <w:pPr>
        <w:pStyle w:val="Heading2"/>
      </w:pPr>
      <w:r>
        <w:t>세부절차</w:t>
      </w:r>
    </w:p>
    <w:p>
      <w:r>
        <w:t>① 현장점검 ② 결과보고 ③ 시정조치</w:t>
      </w:r>
    </w:p>
    <w:p>
      <w:r>
        <w:t>PF★ 대출은 승인 대상에서 제외되며(★=고위험군), 준법감시인(CCO)이 최종 확인한다.</w:t>
      </w:r>
    </w:p>
    <w:p>
      <w:r>
        <w:t>동 규정은 甲(발행사)과 乙(대행사) 간 계약에 적용된다.</w:t>
      </w:r>
    </w:p>
    <w:p>
      <w:r>
        <w:t>적합성 원칙 준수 여부: O   설명의무 이행 여부: X</w:t>
      </w:r>
    </w:p>
    <w:p>
      <w:r>
        <w:rPr>
          <w:b w:val="0"/>
          <w:highlight w:val="yellow"/>
        </w:rPr>
        <w:t>반드시 준수해야 하는 핵심 조항</w:t>
      </w:r>
    </w:p>
    <w:p>
      <w:pPr>
        <w:pStyle w:val="Heading1"/>
      </w:pPr>
      <w:r>
        <w:t>월별 대출 실적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2025 상반기</w:t>
            </w:r>
          </w:p>
        </w:tc>
        <w:tc>
          <w:tcPr>
            <w:tcW w:type="dxa" w:w="2160"/>
          </w:tcPr>
          <w:p>
            <w:r>
              <w:t>2025 상반기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1월</w:t>
            </w:r>
          </w:p>
        </w:tc>
        <w:tc>
          <w:tcPr>
            <w:tcW w:type="dxa" w:w="2160"/>
          </w:tcPr>
          <w:p>
            <w:r>
              <w:t>2월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저축은행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전월대비 감소</w:t>
            </w:r>
          </w:p>
        </w:tc>
      </w:tr>
      <w:tr>
        <w:tc>
          <w:tcPr>
            <w:tcW w:type="dxa" w:w="2160"/>
          </w:tcPr>
          <w:p>
            <w:r>
              <w:t>인터넷은행</w:t>
            </w:r>
          </w:p>
        </w:tc>
        <w:tc>
          <w:tcPr>
            <w:tcW w:type="dxa" w:w="2160"/>
          </w:tcPr>
          <w:p>
            <w:r>
              <w:t>3329</w:t>
            </w:r>
          </w:p>
        </w:tc>
        <w:tc>
          <w:tcPr>
            <w:tcW w:type="dxa" w:w="2160"/>
          </w:tcPr>
          <w:p>
            <w:r>
              <w:t>2605</w:t>
            </w:r>
          </w:p>
        </w:tc>
        <w:tc>
          <w:tcPr>
            <w:tcW w:type="dxa" w:w="2160"/>
          </w:tcPr>
          <w:p>
            <w:r>
              <w:t>전월대비 감소</w:t>
            </w:r>
          </w:p>
        </w:tc>
      </w:tr>
      <w:tr>
        <w:tc>
          <w:tcPr>
            <w:tcW w:type="dxa" w:w="8640"/>
            <w:gridSpan w:val="4"/>
          </w:tcPr>
          <w:p>
            <w:r>
              <w:t>[표] 저축은행/인터넷은행 월별 대출 실적(단위: 억원)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