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"/>
        <w:gridCol w:w="5418"/>
        <w:tblGridChange w:id="0">
          <w:tblGrid>
            <w:gridCol w:w="737"/>
            <w:gridCol w:w="5418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Hệ số vòng quay tài sản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  Hệ số vòng quay vốn CSH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 Hệ số vòng quay khoản phải thu khách hàng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  Thời gian trung bình thu tiền khách hàng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 Hệ số vòng quay HTK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 Thời gian trung bình xử lý HTK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Hệ số vòng quay khoản phải trả nhà cung cấp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Thời gian trung bình thanh toán cho nhà cung cấp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Chu kỳ chuyển đổi tiền mặt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Hệ số thanh toán tiền mặt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Hệ số thanh toán nhanh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Hệ số thanh toán hiện thời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highlight w:val="yellow"/>
                <w:rtl w:val="0"/>
              </w:rPr>
              <w:t xml:space="preserve">Tỷ lệ nợ vay ngắn hạn trên tổng tài sản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Tỷ lệ nợ vay ngắn hạn trên VCSH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highlight w:val="yellow"/>
                <w:rtl w:val="0"/>
              </w:rPr>
              <w:t xml:space="preserve">Tỷ lệ nợ vay dài hạn trên tổng tài sản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Tỷ lệ nợ vay dài hạn trên VCSH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Tỷ lệ nợ vay trên tổng tài sản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Tỷ lệ nợ vay trên VCSH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Tỷ lệ nợ phải trả trên tổng tài sản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Tỷ lệ nợ phải trả trên VCSH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highlight w:val="yellow"/>
                <w:rtl w:val="0"/>
              </w:rPr>
              <w:t xml:space="preserve">Tỷ lệ đòn bẩy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highlight w:val="yellow"/>
                <w:rtl w:val="0"/>
              </w:rPr>
              <w:t xml:space="preserve">EBIT/ Lãi vay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EBITDA/ Lãi vay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lợi nhuận gộp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EBITDA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EBIT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lợi nhuận trước thuế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lợi nhuận thuần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lợi nhuận gộp trên Tổng tài sản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EBITDA trên Tổng tài sản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rPr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R31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Tỷ suất EBIT trên Tổng tài sản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EBT trên Tổng tài sản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ROA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ROE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ROIC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Tỷ suất thuế TNDN thực tế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Dòng tiền hoạt động/ Tổng nợ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Dòng tiền / doanh thu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R39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Dòng tiền tự do / thu nhập hoạt động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Dòng tiền tự do trên tài sản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Dòng tiền tự do trên VCSH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Dòng tiền tự do/ CAPEX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doanh thu thuần  YoY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lãi gộp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EBITDA  YoY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EBIT  YoY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LN trước thuế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phải thu  YoY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Hàng tồn kho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Vay ngắn hạn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Vay dài hạn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chi phí SGA  YoY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tài sản  YoY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VCSH YoY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Tăng trưởng CFO  YoY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Vốn hóa (Tỷ VND)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Giá trị doanh nghiệp (Tỷ VND)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BVPS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Doanh số/ Cổ phiếu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EPS cơ bản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EPS pha loãng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R62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Dòng tiền tự do/ Cổ phiếu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R63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P/B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R64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P/E cơ bản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R65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P/E pha loãng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R66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P/S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6">
            <w:pPr>
              <w:rPr>
                <w:color w:val="000000"/>
                <w:highlight w:val="yellow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R67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    Giá trị doanh nghiệp/ Doanh thu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R68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Giá trị doanh nghiệp/ EBITDA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R69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Giá trị doanh nghiệp/ EBIT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R70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Tỷ suất cổ tức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Malthusian Model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Dutch Disease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Ricardo’s Classical Model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Harrod-Domar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1389"/>
        <w:gridCol w:w="1617"/>
        <w:gridCol w:w="921"/>
        <w:gridCol w:w="1389"/>
        <w:gridCol w:w="1617"/>
        <w:gridCol w:w="1495"/>
        <w:tblGridChange w:id="0">
          <w:tblGrid>
            <w:gridCol w:w="922"/>
            <w:gridCol w:w="1389"/>
            <w:gridCol w:w="1617"/>
            <w:gridCol w:w="921"/>
            <w:gridCol w:w="1389"/>
            <w:gridCol w:w="1617"/>
            <w:gridCol w:w="149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EMS Model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Z-score Model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Ratio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Working Capital/ Total Assets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WCTA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R01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Working Capital/ Total Assets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WCTA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Retained Earnings/ 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RETA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R02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Retained Earnings/ 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RETA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Earning before Interest, Taxes/ Total Assets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EBITTA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R03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Earning before Interest, Taxes/ Total Assets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EBITTA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Book value of Equity/ Total Liabilities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BVETL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R04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Book value of Equity/ Total Liabilities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BVETL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Asset Turnover Ratio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(R01)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ASSETURN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R05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Asset Turnover Ratio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ASSETURN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R06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Supplier Payment Ratio (R08)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SUPPAY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R07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Current Ratio (R12)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R06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Current Ratio 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R12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R08 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Short-term Debt to Asset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(R13)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STDTA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R07 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Short-term Debt to Equity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STDTA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Long-term Debt to Asset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(R15)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LTDTA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R08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Long-term Debt to Equity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LTDTA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R15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R10 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Financial Leverage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FL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Return on Assets (R33)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ROA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R09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Return on Assets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ROA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EBIT/ Interest Coverage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(R22)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EBITIC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R11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Operating Cash Flow/ Capital Expenditure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(R42)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OCFCAPEX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R11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Operating Cash Flow/ Capital Expenditure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OCFCAPEX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R42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R12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Enterprise Value/ Revenue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(R67)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EVR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R12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Enterprise Value/ Revenue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EVR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R13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Interest rates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Deficit BoP -&gt; raise interest rate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 Machine Learning We Trust: Predicting and Explaining Financial Distress in Vietnam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Tài sản mới cho nền kinh tế (mua hàng hoá, nguyên vật liệu, inventory, new factories, new manufacturing tools), việc làm,…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Đầu tư phải gắn với sản xuất, sản xuất tạo ra tài sản mới cho nền kinh tế.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accuracy: total number of true predictions/ total number of predictions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Precision: When class distribution is not balanced (one class is more frequent than others). Predicting all samples of the most frequent class gets you right, but the model simply learns nothing.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Precision = True Positive / (True_Positive + False_Positive)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True Positive: số lượng điểm Positive được phân đúng là Positive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True Negative: số lượng điểm Negative được phân đúng là Negative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False Positive: số lượng điểm Negative được phân nhầm là Positive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False Negative: số lượng điểm Positive được phân nhầm là Negative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Recall: fractions of samples from a class which are correctly predicted by a model.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Recall = True Positive / (True_Positive + False_Negative)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F1-score: combine both precision and recall into a metric, harmonic mean of precision and recall: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F1-score = 2*Precision*Recall/ (Precision + Recall)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F1 score is a special case of  when  =1;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Generalized version of F- score: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F=(1+)2Precision  Recall2Precision + Recall 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(Predicted Label, True Label)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4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  <w:jc w:val="both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  <w:jc w:val="both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120" w:lineRule="auto"/>
      <w:jc w:val="both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870BF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V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53D58"/>
    <w:pPr>
      <w:keepNext w:val="1"/>
      <w:keepLines w:val="1"/>
      <w:spacing w:after="80" w:before="360" w:line="259" w:lineRule="auto"/>
      <w:jc w:val="both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53D58"/>
    <w:pPr>
      <w:keepNext w:val="1"/>
      <w:keepLines w:val="1"/>
      <w:spacing w:after="80" w:before="160" w:line="259" w:lineRule="auto"/>
      <w:jc w:val="both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53D5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53D5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53D5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53D58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53D58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53D58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53D58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53D5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53D5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53D5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53D5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53D5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53D5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53D5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53D5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53D5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53D58"/>
    <w:pPr>
      <w:spacing w:after="80" w:before="120"/>
      <w:contextualSpacing w:val="1"/>
      <w:jc w:val="both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F53D5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53D58"/>
    <w:pPr>
      <w:numPr>
        <w:ilvl w:val="1"/>
      </w:numPr>
      <w:spacing w:after="120" w:before="120" w:line="259" w:lineRule="auto"/>
      <w:jc w:val="both"/>
    </w:pPr>
    <w:rPr>
      <w:rFonts w:cstheme="majorBidi" w:eastAsiaTheme="majorEastAsia"/>
      <w:color w:val="595959" w:themeColor="text1" w:themeTint="0000A6"/>
      <w:spacing w:val="15"/>
      <w:kern w:val="2"/>
      <w:sz w:val="28"/>
      <w:szCs w:val="28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F53D5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53D58"/>
    <w:pPr>
      <w:spacing w:after="120" w:before="160" w:line="259" w:lineRule="auto"/>
      <w:jc w:val="center"/>
    </w:pPr>
    <w:rPr>
      <w:rFonts w:cstheme="minorBidi" w:eastAsiaTheme="minorHAnsi"/>
      <w:i w:val="1"/>
      <w:iCs w:val="1"/>
      <w:color w:val="404040" w:themeColor="text1" w:themeTint="0000BF"/>
      <w:kern w:val="2"/>
      <w:szCs w:val="22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00F53D5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53D58"/>
    <w:pPr>
      <w:spacing w:after="120" w:before="120" w:line="259" w:lineRule="auto"/>
      <w:ind w:left="720"/>
      <w:contextualSpacing w:val="1"/>
      <w:jc w:val="both"/>
    </w:pPr>
    <w:rPr>
      <w:rFonts w:cstheme="minorBidi" w:eastAsiaTheme="minorHAnsi"/>
      <w:kern w:val="2"/>
      <w:szCs w:val="22"/>
      <w:lang w:val="en-US"/>
    </w:rPr>
  </w:style>
  <w:style w:type="character" w:styleId="IntenseEmphasis">
    <w:name w:val="Intense Emphasis"/>
    <w:basedOn w:val="DefaultParagraphFont"/>
    <w:uiPriority w:val="21"/>
    <w:qFormat w:val="1"/>
    <w:rsid w:val="00F53D5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53D5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cstheme="minorBidi" w:eastAsiaTheme="minorHAnsi"/>
      <w:i w:val="1"/>
      <w:iCs w:val="1"/>
      <w:color w:val="0f4761" w:themeColor="accent1" w:themeShade="0000BF"/>
      <w:kern w:val="2"/>
      <w:szCs w:val="22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3D5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53D58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F53D5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92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92D8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42FE5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>
      <w:spacing w:after="120" w:before="120" w:line="259" w:lineRule="auto"/>
      <w:jc w:val="both"/>
    </w:pPr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lbb4YwhLiN5C4Mjj4qSBU97xDQ==">CgMxLjA4AHIhMXVfT2UxLW5kMlBPZEVhZDU4S2F0MjdVSm9RXzlMc1B1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2024-10-23T02:57:00Z</dcterms:created>
  <dc:creator>florenceedna1509@gmail.com</dc:creator>
</cp:coreProperties>
</file>