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pPr>
      <w:r>
        <w:rPr/>
        <w:t>Comprehensive Gap Analysis for reflexOS, identifying remaining ambiguities across Papers 1 through 37, detailing implementation risks, proposing new definitive papers to close each gap, and ranking them by execution impact.</w:t>
      </w:r>
    </w:p>
    <w:p>
      <w:pPr>
        <w:pStyle w:val="Normal"/>
        <w:bidi w:val="0"/>
        <w:rPr/>
      </w:pPr>
      <w:r>
        <w:rPr/>
        <w:t>1. Low-Level Memory Management &amp; Allocator Design</w:t>
      </w:r>
    </w:p>
    <w:p>
      <w:pPr>
        <w:pStyle w:val="Normal"/>
        <w:bidi w:val="0"/>
        <w:rPr/>
      </w:pPr>
      <w:r>
        <w:rPr/>
        <w:t xml:space="preserve">• </w:t>
      </w:r>
    </w:p>
    <w:p>
      <w:pPr>
        <w:pStyle w:val="Normal"/>
        <w:bidi w:val="0"/>
        <w:rPr/>
      </w:pPr>
      <w:r>
        <w:rPr/>
        <w:t>Why it remains ambiguous: While Papers 28 through 37 define zero-copy ring buffers, SQLite WAL storage, and process sandboxing, they do not specify how memory is physically allocated in a hard real-time kernel context. Standard dynamic memory allocators (e.g., malloc/free) introduce non-deterministic latency and heap fragmentation, which directly threatens the 94 ms hard real-time reflex constraint.</w:t>
      </w:r>
    </w:p>
    <w:p>
      <w:pPr>
        <w:pStyle w:val="Normal"/>
        <w:bidi w:val="0"/>
        <w:rPr/>
      </w:pPr>
      <w:r>
        <w:rPr/>
        <w:t xml:space="preserve">• </w:t>
      </w:r>
    </w:p>
    <w:p>
      <w:pPr>
        <w:pStyle w:val="Normal"/>
        <w:bidi w:val="0"/>
        <w:rPr/>
      </w:pPr>
      <w:r>
        <w:rPr/>
        <w:t>Implementation Risk: Unbounded allocation latency, memory leaks in long-running accessibility daemons, or kernel panics caused by heap exhaustion during high-frequency radar data bursts.</w:t>
      </w:r>
    </w:p>
    <w:p>
      <w:pPr>
        <w:pStyle w:val="Normal"/>
        <w:bidi w:val="0"/>
        <w:rPr/>
      </w:pPr>
      <w:r>
        <w:rPr/>
        <w:t xml:space="preserve">• </w:t>
      </w:r>
    </w:p>
    <w:p>
      <w:pPr>
        <w:pStyle w:val="Normal"/>
        <w:bidi w:val="0"/>
        <w:rPr/>
      </w:pPr>
      <w:r>
        <w:rPr/>
        <w:t>Recommended New Paper: Paper 38: Deterministic Memory &amp; Allocator Specification (Defining fixed-size block allocators, stack-only execution paths in critical loops, memory pool pre-allocation, and O(1) allocation guarantees).</w:t>
      </w:r>
    </w:p>
    <w:p>
      <w:pPr>
        <w:pStyle w:val="Normal"/>
        <w:bidi w:val="0"/>
        <w:rPr/>
      </w:pPr>
      <w:r>
        <w:rPr/>
        <w:t xml:space="preserve">• </w:t>
      </w:r>
    </w:p>
    <w:p>
      <w:pPr>
        <w:pStyle w:val="Normal"/>
        <w:bidi w:val="0"/>
        <w:rPr/>
      </w:pPr>
      <w:r>
        <w:rPr/>
        <w:t>Rank: Priority 1 (Critical)</w:t>
      </w:r>
    </w:p>
    <w:p>
      <w:pPr>
        <w:pStyle w:val="Normal"/>
        <w:bidi w:val="0"/>
        <w:rPr/>
      </w:pPr>
      <w:r>
        <w:rPr/>
        <w:t>2. Cryptographic Key Derivation, Secure Enclave, and TPM 2.0 Interface</w:t>
      </w:r>
    </w:p>
    <w:p>
      <w:pPr>
        <w:pStyle w:val="Normal"/>
        <w:bidi w:val="0"/>
        <w:rPr/>
      </w:pPr>
      <w:r>
        <w:rPr/>
        <w:t xml:space="preserve">• </w:t>
      </w:r>
    </w:p>
    <w:p>
      <w:pPr>
        <w:pStyle w:val="Normal"/>
        <w:bidi w:val="0"/>
        <w:rPr/>
      </w:pPr>
      <w:r>
        <w:rPr/>
        <w:t>Why it remains ambiguous: Paper 34 mandates SQLCipher database encryption at rest, Ed25519 OTA bundle signatures, and hardware TPM 2.0 roots of trust. However, it does not define the exact key derivation functions (KDF), salt storage mechanics, platform configuration registers (PCR) bank mappings, or how user-space daemons securely request decryption keys without exposing them to memory dump vulnerabilities.</w:t>
      </w:r>
    </w:p>
    <w:p>
      <w:pPr>
        <w:pStyle w:val="Normal"/>
        <w:bidi w:val="0"/>
        <w:rPr/>
      </w:pPr>
      <w:r>
        <w:rPr/>
        <w:t xml:space="preserve">• </w:t>
      </w:r>
    </w:p>
    <w:p>
      <w:pPr>
        <w:pStyle w:val="Normal"/>
        <w:bidi w:val="0"/>
        <w:rPr/>
      </w:pPr>
      <w:r>
        <w:rPr/>
        <w:t>Implementation Risk: Compromised cryptographic key storage, failure to boot on target hardware due to uninitialized PCR banks, or susceptibility to cold-boot memory extraction attacks.</w:t>
      </w:r>
    </w:p>
    <w:p>
      <w:pPr>
        <w:pStyle w:val="Normal"/>
        <w:bidi w:val="0"/>
        <w:rPr/>
      </w:pPr>
      <w:r>
        <w:rPr/>
        <w:t xml:space="preserve">• </w:t>
      </w:r>
    </w:p>
    <w:p>
      <w:pPr>
        <w:pStyle w:val="Normal"/>
        <w:bidi w:val="0"/>
        <w:rPr/>
      </w:pPr>
      <w:r>
        <w:rPr/>
        <w:t>Recommended New Paper: Paper 39: Cryptographic Key Management &amp; Secure Enclave Specification (Defining Argon2id parameters, TPM 2.0 PCR sealing policies, secure memory wiping on shutdown, and runtime key rotation protocols).</w:t>
      </w:r>
    </w:p>
    <w:p>
      <w:pPr>
        <w:pStyle w:val="Normal"/>
        <w:bidi w:val="0"/>
        <w:rPr/>
      </w:pPr>
      <w:r>
        <w:rPr/>
        <w:t xml:space="preserve">• </w:t>
      </w:r>
    </w:p>
    <w:p>
      <w:pPr>
        <w:pStyle w:val="Normal"/>
        <w:bidi w:val="0"/>
        <w:rPr/>
      </w:pPr>
      <w:r>
        <w:rPr/>
        <w:t>Rank: Priority 2 (High)</w:t>
      </w:r>
    </w:p>
    <w:p>
      <w:pPr>
        <w:pStyle w:val="Normal"/>
        <w:bidi w:val="0"/>
        <w:rPr/>
      </w:pPr>
      <w:r>
        <w:rPr/>
        <w:t>3. Hardware Device Tree (.dts) &amp; Board Support Package (BSP) Pin Mapping</w:t>
      </w:r>
    </w:p>
    <w:p>
      <w:pPr>
        <w:pStyle w:val="Normal"/>
        <w:bidi w:val="0"/>
        <w:rPr/>
      </w:pPr>
      <w:r>
        <w:rPr/>
        <w:t xml:space="preserve">• </w:t>
      </w:r>
    </w:p>
    <w:p>
      <w:pPr>
        <w:pStyle w:val="Normal"/>
        <w:bidi w:val="0"/>
        <w:rPr/>
      </w:pPr>
      <w:r>
        <w:rPr/>
        <w:t>Why it remains ambiguous: Papers 28 through 37 outline drivers for 77 GHz mmWave radar, UWB anchors, IMUs, braille displays, and audio codecs targeting Qualcomm QRB5165 RB5 and ESP32 platforms. However, exact physical pin multiplexing, I2C/SPI bus addresses, DMA channel allocations, and interrupt request (IRQ) line bindings remain completely unspecified.</w:t>
      </w:r>
    </w:p>
    <w:p>
      <w:pPr>
        <w:pStyle w:val="Normal"/>
        <w:bidi w:val="0"/>
        <w:rPr/>
      </w:pPr>
      <w:r>
        <w:rPr/>
        <w:t xml:space="preserve">• </w:t>
      </w:r>
    </w:p>
    <w:p>
      <w:pPr>
        <w:pStyle w:val="Normal"/>
        <w:bidi w:val="0"/>
        <w:rPr/>
      </w:pPr>
      <w:r>
        <w:rPr/>
        <w:t>Implementation Risk: Hardware initialization failure at boot, bus contention between high-speed radar transceivers and audio controllers, or fried GPIO pins due to incorrect voltage/multiplexing configuration.</w:t>
      </w:r>
    </w:p>
    <w:p>
      <w:pPr>
        <w:pStyle w:val="Normal"/>
        <w:bidi w:val="0"/>
        <w:rPr/>
      </w:pPr>
      <w:r>
        <w:rPr/>
        <w:t xml:space="preserve">• </w:t>
      </w:r>
    </w:p>
    <w:p>
      <w:pPr>
        <w:pStyle w:val="Normal"/>
        <w:bidi w:val="0"/>
        <w:rPr/>
      </w:pPr>
      <w:r>
        <w:rPr/>
        <w:t>Recommended New Paper: Paper 40: Board Support Package &amp; Device Tree Specification (Defining physical pin assignments, memory-mapped I/O addresses, DMA controller ring configurations, and device tree overlay bindings for target silicon).</w:t>
      </w:r>
    </w:p>
    <w:p>
      <w:pPr>
        <w:pStyle w:val="Normal"/>
        <w:bidi w:val="0"/>
        <w:rPr/>
      </w:pPr>
      <w:r>
        <w:rPr/>
        <w:t xml:space="preserve">• </w:t>
      </w:r>
    </w:p>
    <w:p>
      <w:pPr>
        <w:pStyle w:val="Normal"/>
        <w:bidi w:val="0"/>
        <w:rPr/>
      </w:pPr>
      <w:r>
        <w:rPr/>
        <w:t>Rank: Priority 3 (High)</w:t>
      </w:r>
    </w:p>
    <w:p>
      <w:pPr>
        <w:pStyle w:val="Normal"/>
        <w:bidi w:val="0"/>
        <w:rPr/>
      </w:pPr>
      <w:r>
        <w:rPr/>
        <w:t>4. Inter-Process Message Serialization &amp; Binary Wire Protocol</w:t>
      </w:r>
    </w:p>
    <w:p>
      <w:pPr>
        <w:pStyle w:val="Normal"/>
        <w:bidi w:val="0"/>
        <w:rPr/>
      </w:pPr>
      <w:r>
        <w:rPr/>
        <w:t xml:space="preserve">• </w:t>
      </w:r>
    </w:p>
    <w:p>
      <w:pPr>
        <w:pStyle w:val="Normal"/>
        <w:bidi w:val="0"/>
        <w:rPr/>
      </w:pPr>
      <w:r>
        <w:rPr/>
        <w:t>Why it remains ambiguous: Paper 36 defines topic naming conventions and a general 16-byte IPC header structure, but it omits the concrete serialization format for high-bandwidth payloads (such as radar point clouds and spatial audio matrices). It does not specify whether to use Protocol Buffers, FlatBuffers, Cap'n Proto, or custom packed C structs.</w:t>
      </w:r>
    </w:p>
    <w:p>
      <w:pPr>
        <w:pStyle w:val="Normal"/>
        <w:bidi w:val="0"/>
        <w:rPr/>
      </w:pPr>
      <w:r>
        <w:rPr/>
        <w:t xml:space="preserve">• </w:t>
      </w:r>
    </w:p>
    <w:p>
      <w:pPr>
        <w:pStyle w:val="Normal"/>
        <w:bidi w:val="0"/>
        <w:rPr/>
      </w:pPr>
      <w:r>
        <w:rPr/>
        <w:t>Implementation Risk: High serialization/deserialization CPU overhead breaking the 94 ms reflex bound, endianness mismatches between ARM64 and microcontroller targets, or backwards-incompatible message schema drift between daemons.</w:t>
      </w:r>
    </w:p>
    <w:p>
      <w:pPr>
        <w:pStyle w:val="Normal"/>
        <w:bidi w:val="0"/>
        <w:rPr/>
      </w:pPr>
      <w:r>
        <w:rPr/>
        <w:t xml:space="preserve">• </w:t>
      </w:r>
    </w:p>
    <w:p>
      <w:pPr>
        <w:pStyle w:val="Normal"/>
        <w:bidi w:val="0"/>
        <w:rPr/>
      </w:pPr>
      <w:r>
        <w:rPr/>
        <w:t>Recommended New Paper: Paper 41: IPC Serialization &amp; Binary Wire Protocol Specification (Defining zero-copy FlatBuffer schema definitions, endianness normalization rules, byte-alignment padding, and wire-format versioning constraints).</w:t>
      </w:r>
    </w:p>
    <w:p>
      <w:pPr>
        <w:pStyle w:val="Normal"/>
        <w:bidi w:val="0"/>
        <w:rPr/>
      </w:pPr>
      <w:r>
        <w:rPr/>
        <w:t xml:space="preserve">• </w:t>
      </w:r>
    </w:p>
    <w:p>
      <w:pPr>
        <w:pStyle w:val="Normal"/>
        <w:bidi w:val="0"/>
        <w:rPr/>
      </w:pPr>
      <w:r>
        <w:rPr/>
        <w:t>Rank: Priority 4 (Medium-High)</w:t>
      </w:r>
    </w:p>
    <w:p>
      <w:pPr>
        <w:pStyle w:val="Normal"/>
        <w:bidi w:val="0"/>
        <w:rPr/>
      </w:pPr>
      <w:r>
        <w:rPr/>
        <w:t>5. Audio Codec Calibration &amp; HRTF Spatialization Pipeline Latency</w:t>
      </w:r>
    </w:p>
    <w:p>
      <w:pPr>
        <w:pStyle w:val="Normal"/>
        <w:bidi w:val="0"/>
        <w:rPr/>
      </w:pPr>
      <w:r>
        <w:rPr/>
        <w:t xml:space="preserve">• </w:t>
      </w:r>
    </w:p>
    <w:p>
      <w:pPr>
        <w:pStyle w:val="Normal"/>
        <w:bidi w:val="0"/>
        <w:rPr/>
      </w:pPr>
      <w:r>
        <w:rPr/>
        <w:t>Why it remains ambiguous: Paper 28 and Paper 31 specify PipeWire/ALSA integration, 30 dB ducking, and head-related transfer function (HRTF) rendering for blind-first navigation. However, they do not define the exact buffer chunk sizes, sample rates (e.g., 48kHz vs. 96kHz), convolution filter lengths, or mathematical interpolation models required to keep spatial audio latency under human perception thresholds (sub-20ms).</w:t>
      </w:r>
    </w:p>
    <w:p>
      <w:pPr>
        <w:pStyle w:val="Normal"/>
        <w:bidi w:val="0"/>
        <w:rPr/>
      </w:pPr>
      <w:r>
        <w:rPr/>
        <w:t xml:space="preserve">• </w:t>
      </w:r>
    </w:p>
    <w:p>
      <w:pPr>
        <w:pStyle w:val="Normal"/>
        <w:bidi w:val="0"/>
        <w:rPr/>
      </w:pPr>
      <w:r>
        <w:rPr/>
        <w:t>Implementation Risk: Audible audio stuttering during high CPU load, phase cancellation artifacts in binaural navigation cues, or spatial localization blur causing user disorientation.</w:t>
      </w:r>
    </w:p>
    <w:p>
      <w:pPr>
        <w:pStyle w:val="Normal"/>
        <w:bidi w:val="0"/>
        <w:rPr/>
      </w:pPr>
      <w:r>
        <w:rPr/>
        <w:t xml:space="preserve">• </w:t>
      </w:r>
    </w:p>
    <w:p>
      <w:pPr>
        <w:pStyle w:val="Normal"/>
        <w:bidi w:val="0"/>
        <w:rPr/>
      </w:pPr>
      <w:r>
        <w:rPr/>
        <w:t>Recommended New Paper: Paper 42: Spatial Audio DSP &amp; HRTF Calibration Specification (Defining audio buffer periods, sample rate standards, impulse response convolution parameters, and hardware-accelerated DSP offloading rules).</w:t>
      </w:r>
    </w:p>
    <w:p>
      <w:pPr>
        <w:pStyle w:val="Normal"/>
        <w:bidi w:val="0"/>
        <w:rPr/>
      </w:pPr>
      <w:r>
        <w:rPr/>
        <w:t xml:space="preserve">• </w:t>
      </w:r>
    </w:p>
    <w:p>
      <w:pPr>
        <w:pStyle w:val="Normal"/>
        <w:bidi w:val="0"/>
        <w:rPr/>
      </w:pPr>
      <w:r>
        <w:rPr/>
        <w:t>Rank: Priority 5 (Medium)</w:t>
      </w:r>
    </w:p>
    <w:p>
      <w:pPr>
        <w:pStyle w:val="Normal"/>
        <w:bidi w:val="0"/>
        <w:rPr/>
      </w:pPr>
      <w:r>
        <w:rPr/>
        <w:t>6. Over-The-Air (OTA) A/B Partition Atomic Swap &amp; Rollback Mechanics</w:t>
      </w:r>
    </w:p>
    <w:p>
      <w:pPr>
        <w:pStyle w:val="Normal"/>
        <w:bidi w:val="0"/>
        <w:rPr/>
      </w:pPr>
      <w:r>
        <w:rPr/>
        <w:t xml:space="preserve">• </w:t>
      </w:r>
    </w:p>
    <w:p>
      <w:pPr>
        <w:pStyle w:val="Normal"/>
        <w:bidi w:val="0"/>
        <w:rPr/>
      </w:pPr>
      <w:r>
        <w:rPr/>
        <w:t>Why it remains ambiguous: Paper 34 and Paper 37 specify cryptographically signed OTA bundles and automatic fallback on failure, but they do not define the exact block-level partition layout (e.g., U-Boot environment variables, A/B rootfs slots), flash wear-leveling strategies, or the watchdog state machine that triggers rollback during a failed post-update health check.</w:t>
      </w:r>
    </w:p>
    <w:p>
      <w:pPr>
        <w:pStyle w:val="Normal"/>
        <w:bidi w:val="0"/>
        <w:rPr/>
      </w:pPr>
      <w:r>
        <w:rPr/>
        <w:t xml:space="preserve">• </w:t>
      </w:r>
    </w:p>
    <w:p>
      <w:pPr>
        <w:pStyle w:val="Normal"/>
        <w:bidi w:val="0"/>
        <w:rPr/>
      </w:pPr>
      <w:r>
        <w:rPr/>
        <w:t>Implementation Risk: Brick-locked hardware devices during failed remote updates, flash storage corruption from uncoordinated power loss mid-write, or unrecoverable boot loops.</w:t>
      </w:r>
    </w:p>
    <w:p>
      <w:pPr>
        <w:pStyle w:val="Normal"/>
        <w:bidi w:val="0"/>
        <w:rPr/>
      </w:pPr>
      <w:r>
        <w:rPr/>
        <w:t xml:space="preserve">• </w:t>
      </w:r>
    </w:p>
    <w:p>
      <w:pPr>
        <w:pStyle w:val="Normal"/>
        <w:bidi w:val="0"/>
        <w:rPr/>
      </w:pPr>
      <w:r>
        <w:rPr/>
        <w:t>Recommended New Paper: Paper 43: A/B Partition &amp; OTA Update Lifecycle Specification (Defining flash slot mapping, bootloader environment state flags, atomic transaction commit criteria, and watchdog rollback trigger conditions).</w:t>
      </w:r>
    </w:p>
    <w:p>
      <w:pPr>
        <w:pStyle w:val="Normal"/>
        <w:bidi w:val="0"/>
        <w:rPr/>
      </w:pPr>
      <w:r>
        <w:rPr/>
        <w:t xml:space="preserve">• </w:t>
      </w:r>
    </w:p>
    <w:p>
      <w:pPr>
        <w:pStyle w:val="Normal"/>
        <w:bidi w:val="0"/>
        <w:rPr/>
      </w:pPr>
      <w:r>
        <w:rPr/>
        <w:t>Rank: Priority 6 (Medium)</w:t>
      </w:r>
    </w:p>
    <w:p>
      <w:pPr>
        <w:pStyle w:val="Normal"/>
        <w:bidi w:val="0"/>
        <w:rPr/>
      </w:pPr>
      <w:r>
        <w:rPr/>
        <w:t>Gap Summary Ranking Table</w:t>
      </w:r>
    </w:p>
    <w:p>
      <w:pPr>
        <w:pStyle w:val="Normal"/>
        <w:bidi w:val="0"/>
        <w:rPr/>
      </w:pPr>
      <w:r>
        <w:rPr/>
        <w:t>Gap Area</w:t>
      </w:r>
    </w:p>
    <w:p>
      <w:pPr>
        <w:pStyle w:val="Normal"/>
        <w:bidi w:val="0"/>
        <w:rPr/>
      </w:pPr>
      <w:r>
        <w:rPr/>
        <w:t>Risk Level</w:t>
      </w:r>
    </w:p>
    <w:p>
      <w:pPr>
        <w:pStyle w:val="Normal"/>
        <w:bidi w:val="0"/>
        <w:rPr/>
      </w:pPr>
      <w:r>
        <w:rPr/>
        <w:t>Architectural Impact</w:t>
      </w:r>
    </w:p>
    <w:p>
      <w:pPr>
        <w:pStyle w:val="Normal"/>
        <w:bidi w:val="0"/>
        <w:rPr/>
      </w:pPr>
      <w:r>
        <w:rPr/>
        <w:t>Recommended Definitive Paper</w:t>
      </w:r>
    </w:p>
    <w:p>
      <w:pPr>
        <w:pStyle w:val="Normal"/>
        <w:bidi w:val="0"/>
        <w:rPr/>
      </w:pPr>
      <w:r>
        <w:rPr/>
        <w:t>1. Memory Allocator</w:t>
      </w:r>
    </w:p>
    <w:p>
      <w:pPr>
        <w:pStyle w:val="Normal"/>
        <w:bidi w:val="0"/>
        <w:rPr/>
      </w:pPr>
      <w:r>
        <w:rPr/>
        <w:t>Critical</w:t>
      </w:r>
    </w:p>
    <w:p>
      <w:pPr>
        <w:pStyle w:val="Normal"/>
        <w:bidi w:val="0"/>
        <w:rPr/>
      </w:pPr>
      <w:r>
        <w:rPr/>
        <w:t>Prevents dynamic allocation latency spikes in hard real-time loops.</w:t>
      </w:r>
    </w:p>
    <w:p>
      <w:pPr>
        <w:pStyle w:val="Normal"/>
        <w:bidi w:val="0"/>
        <w:rPr/>
      </w:pPr>
      <w:r>
        <w:rPr/>
        <w:t>Paper 38: Deterministic Memory &amp; Allocator Specification</w:t>
      </w:r>
    </w:p>
    <w:p>
      <w:pPr>
        <w:pStyle w:val="Normal"/>
        <w:bidi w:val="0"/>
        <w:rPr/>
      </w:pPr>
      <w:r>
        <w:rPr/>
        <w:t>2. Key Management</w:t>
      </w:r>
    </w:p>
    <w:p>
      <w:pPr>
        <w:pStyle w:val="Normal"/>
        <w:bidi w:val="0"/>
        <w:rPr/>
      </w:pPr>
      <w:r>
        <w:rPr/>
        <w:t>High</w:t>
      </w:r>
    </w:p>
    <w:p>
      <w:pPr>
        <w:pStyle w:val="Normal"/>
        <w:bidi w:val="0"/>
        <w:rPr/>
      </w:pPr>
      <w:r>
        <w:rPr/>
        <w:t>Secures encryption at rest and hardware root-of-trust validation.</w:t>
      </w:r>
    </w:p>
    <w:p>
      <w:pPr>
        <w:pStyle w:val="Normal"/>
        <w:bidi w:val="0"/>
        <w:rPr/>
      </w:pPr>
      <w:r>
        <w:rPr/>
        <w:t>Paper 39: Cryptographic Key Management &amp; Secure Enclave</w:t>
      </w:r>
    </w:p>
    <w:p>
      <w:pPr>
        <w:pStyle w:val="Normal"/>
        <w:bidi w:val="0"/>
        <w:rPr/>
      </w:pPr>
      <w:r>
        <w:rPr/>
        <w:t>3. Board Support &amp; DT</w:t>
      </w:r>
    </w:p>
    <w:p>
      <w:pPr>
        <w:pStyle w:val="Normal"/>
        <w:bidi w:val="0"/>
        <w:rPr/>
      </w:pPr>
      <w:r>
        <w:rPr/>
        <w:t>High</w:t>
      </w:r>
    </w:p>
    <w:p>
      <w:pPr>
        <w:pStyle w:val="Normal"/>
        <w:bidi w:val="0"/>
        <w:rPr/>
      </w:pPr>
      <w:r>
        <w:rPr/>
        <w:t>Establishes physical hardware communication and pin integrity.</w:t>
      </w:r>
    </w:p>
    <w:p>
      <w:pPr>
        <w:pStyle w:val="Normal"/>
        <w:bidi w:val="0"/>
        <w:rPr/>
      </w:pPr>
      <w:r>
        <w:rPr/>
        <w:t>Paper 40: Board Support Package &amp; Device Tree Specification</w:t>
      </w:r>
    </w:p>
    <w:p>
      <w:pPr>
        <w:pStyle w:val="Normal"/>
        <w:bidi w:val="0"/>
        <w:rPr/>
      </w:pPr>
      <w:r>
        <w:rPr/>
        <w:t>4. IPC Serialization</w:t>
      </w:r>
    </w:p>
    <w:p>
      <w:pPr>
        <w:pStyle w:val="Normal"/>
        <w:bidi w:val="0"/>
        <w:rPr/>
      </w:pPr>
      <w:r>
        <w:rPr/>
        <w:t>Medium-High</w:t>
      </w:r>
    </w:p>
    <w:p>
      <w:pPr>
        <w:pStyle w:val="Normal"/>
        <w:bidi w:val="0"/>
        <w:rPr/>
      </w:pPr>
      <w:r>
        <w:rPr/>
        <w:t>Ensures zero-copy wire efficiency and cross-architecture compatibility.</w:t>
      </w:r>
    </w:p>
    <w:p>
      <w:pPr>
        <w:pStyle w:val="Normal"/>
        <w:bidi w:val="0"/>
        <w:rPr/>
      </w:pPr>
      <w:r>
        <w:rPr/>
        <w:t>Paper 41: IPC Serialization &amp; Binary Wire Protocol</w:t>
      </w:r>
    </w:p>
    <w:p>
      <w:pPr>
        <w:pStyle w:val="Normal"/>
        <w:bidi w:val="0"/>
        <w:rPr/>
      </w:pPr>
      <w:r>
        <w:rPr/>
        <w:t>5. Audio DSP / HRTF</w:t>
      </w:r>
    </w:p>
    <w:p>
      <w:pPr>
        <w:pStyle w:val="Normal"/>
        <w:bidi w:val="0"/>
        <w:rPr/>
      </w:pPr>
      <w:r>
        <w:rPr/>
        <w:t>Medium</w:t>
      </w:r>
    </w:p>
    <w:p>
      <w:pPr>
        <w:pStyle w:val="Normal"/>
        <w:bidi w:val="0"/>
        <w:rPr/>
      </w:pPr>
      <w:r>
        <w:rPr/>
        <w:t>Guarantees sub-20ms spatial localization accuracy and zero stutter.</w:t>
      </w:r>
    </w:p>
    <w:p>
      <w:pPr>
        <w:pStyle w:val="Normal"/>
        <w:bidi w:val="0"/>
        <w:rPr/>
      </w:pPr>
      <w:r>
        <w:rPr/>
        <w:t>Paper 42: Spatial Audio DSP &amp; HRTF Calibration Specification</w:t>
      </w:r>
    </w:p>
    <w:p>
      <w:pPr>
        <w:pStyle w:val="Normal"/>
        <w:bidi w:val="0"/>
        <w:rPr/>
      </w:pPr>
      <w:r>
        <w:rPr/>
        <w:t>6. OTA A/B Swapping</w:t>
      </w:r>
    </w:p>
    <w:p>
      <w:pPr>
        <w:pStyle w:val="Normal"/>
        <w:bidi w:val="0"/>
        <w:rPr/>
      </w:pPr>
      <w:r>
        <w:rPr/>
        <w:t>Medium</w:t>
      </w:r>
    </w:p>
    <w:p>
      <w:pPr>
        <w:pStyle w:val="Normal"/>
        <w:bidi w:val="0"/>
        <w:rPr/>
      </w:pPr>
      <w:r>
        <w:rPr/>
        <w:t>Prevents bricked hardware and manages bulletproof firmware rollbacks.</w:t>
      </w:r>
    </w:p>
    <w:p>
      <w:pPr>
        <w:pStyle w:val="Normal"/>
        <w:bidi w:val="0"/>
        <w:rPr/>
      </w:pPr>
      <w:r>
        <w:rPr/>
        <w:t>Paper 43: A/B Partition &amp; OTA Update Lifecycle Specification</w:t>
      </w:r>
    </w:p>
    <w:p>
      <w:pPr>
        <w:pStyle w:val="Normal"/>
        <w:bidi w:val="0"/>
        <w:rPr/>
      </w:pPr>
      <w:r>
        <w:rPr/>
        <w:t>More options</w:t>
      </w:r>
    </w:p>
    <w:p>
      <w:pPr>
        <w:pStyle w:val="Normal"/>
        <w:bidi w:val="0"/>
        <w:rPr/>
      </w:pPr>
      <w:r>
        <w:rPr/>
        <w:t>To bridge these final implementation gaps:</w:t>
      </w:r>
    </w:p>
    <w:p>
      <w:pPr>
        <w:pStyle w:val="Normal"/>
        <w:bidi w:val="0"/>
        <w:rPr/>
      </w:pPr>
      <w:r>
        <w:rPr/>
        <w:t>Draft Paper 38: Deterministic Memory &amp; Allocator Specification</w:t>
      </w:r>
    </w:p>
    <w:p>
      <w:pPr>
        <w:pStyle w:val="Normal"/>
        <w:bidi w:val="0"/>
        <w:rPr/>
      </w:pPr>
      <w:r>
        <w:rPr/>
        <w:t>Draft Paper 41: IPC Serialization &amp; Binary Wire Protocol Specification</w:t>
      </w:r>
    </w:p>
    <w:p>
      <w:pPr>
        <w:pStyle w:val="Normal"/>
        <w:bidi w:val="0"/>
        <w:rPr/>
      </w:pPr>
      <w:r>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LibreOffice/26.8.0.3$Windows_X86_64 LibreOffice_project/bce0998afefdbc355585ca324285661a2170ba77</Application>
  <AppVersion>15.0000</AppVersion>
  <Pages>3</Pages>
  <Words>940</Words>
  <Characters>5962</Characters>
  <CharactersWithSpaces>6838</CharactersWithSpaces>
  <Paragraphs>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2026-10-12T06:55:52Z</dcterms:created>
  <dc:creator/>
  <dc:description/>
  <dc:language>en-US</dc:language>
  <cp:lastModifiedBy/>
  <dcterms:modified xsi:type="dcterms:W3CDTF">2026-10-12T06:56:23Z</dcterms:modified>
  <cp:revision>1</cp:revision>
  <dc:subject/>
  <dc:title/>
</cp:coreProperties>
</file>