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 xml:space="preserve">Gemini said </w:t>
      </w:r>
    </w:p>
    <w:p>
      <w:pPr>
        <w:pStyle w:val="Normal"/>
        <w:bidi w:val="0"/>
        <w:rPr/>
      </w:pPr>
      <w:r>
        <w:rPr/>
        <w:t>Technical design papers for reflexOS, establishing the foundational architecture, speech subsystems, agent frameworks, audio routing, and testing pipelines to drive the final directory layout.</w:t>
      </w:r>
    </w:p>
    <w:p>
      <w:pPr>
        <w:pStyle w:val="Normal"/>
        <w:bidi w:val="0"/>
        <w:rPr/>
      </w:pPr>
      <w:r>
        <w:rPr/>
        <w:t>1. Directory Architecture Paper</w:t>
      </w:r>
    </w:p>
    <w:p>
      <w:pPr>
        <w:pStyle w:val="Normal"/>
        <w:bidi w:val="0"/>
        <w:rPr/>
      </w:pPr>
      <w:r>
        <w:rPr/>
        <w:t>What Folders Exist &amp; Why They Exist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agents/: Houses persistent persona daemons (such as Marcus) responsible for localized automation, event handling, and contextual user assistance.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audio/: Contains device routing profiles, filter graphs, and spatialization coefficients.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config/: Centralized location for system schemas, user profiles, and default environment manifests.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docs/: Markdown-formatted technical specifications, API contracts, and screen-reader navigation guides.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engines/: Encapsulates text-to-speech (TTS) and voice recognition runtime binaries and plugin wrappers.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installers/: Deployment scripts, pre-flight hardware checks, and unattended provisioning packages.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logs/: Structured, rotation-managed diagnostic logs, panic dumps, and accessibility event audit trails.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models/: Neural network weights, embedding matrices, and quantized acoustic model files.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scripts/: Utility automation, build helpers, and maintenance scripts.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tests/: Unit, integration, hardware-in-the-loop (HIL), and accessibility regression test suites.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tools/: Development utilities, profiling CLIs, and debugging helpers.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voices/: Specific language packs, speaker profiles, and phoneme dictionary mappings.</w:t>
      </w:r>
    </w:p>
    <w:p>
      <w:pPr>
        <w:pStyle w:val="Normal"/>
        <w:bidi w:val="0"/>
        <w:rPr/>
      </w:pPr>
      <w:r>
        <w:rPr/>
        <w:t>Growth Strategy &amp; Naming Conventions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Growth Strategy: Modular separation ensures that new sensor drivers, peripheral buses, or agent personas plug into dedicated namespaces without requiring core kernel refactoring.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Naming Conventions: Strict kebab-case for directories and configuration files (audio-routing/, system-config.yaml), snake_case for internal script and module identifiers (speech_engine.py, reflex_sched.c), and PascalCase for core architectural classes and persona definitions (MarcusAgent, AudioPipeline).</w:t>
      </w:r>
    </w:p>
    <w:p>
      <w:pPr>
        <w:pStyle w:val="Normal"/>
        <w:bidi w:val="0"/>
        <w:rPr/>
      </w:pPr>
      <w:r>
        <w:rPr/>
        <w:t>2. Speech Engine Paper</w:t>
      </w:r>
    </w:p>
    <w:p>
      <w:pPr>
        <w:pStyle w:val="Normal"/>
        <w:bidi w:val="0"/>
        <w:rPr/>
      </w:pPr>
      <w:r>
        <w:rPr/>
        <w:t>Engine Evaluations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eSpeak-NG: Selected as the primary low-level fallback engine. Its formant-based synthesis architecture requires minimal memory and CPU overhead, guaranteeing sub-millisecond phoneme generation during high-priority system interrupts.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Piper: Deployed for high-quality, natural-sounding asynchronous prompts and long-form reading. Neural text-to-speech models run locally via ONNX runtimes, offering human-like cadence without cloud latency.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Mimic / Mimic 3: Maintained as an intermediate modular engine option for specialized multilingual extensions and speaker adaptation.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Future Engines: Architecture supports drop-in Rust and C++ bindings for real-time streaming neural speech models as hardware acceleration evolves.</w:t>
      </w:r>
    </w:p>
    <w:p>
      <w:pPr>
        <w:pStyle w:val="Normal"/>
        <w:bidi w:val="0"/>
        <w:rPr/>
      </w:pPr>
      <w:r>
        <w:rPr/>
        <w:t>Engine Abstraction Layer</w:t>
      </w:r>
    </w:p>
    <w:p>
      <w:pPr>
        <w:pStyle w:val="Normal"/>
        <w:bidi w:val="0"/>
        <w:rPr/>
      </w:pPr>
      <w:r>
        <w:rPr/>
        <w:t>The engine/ subsystem exposes a unified C/C++ abstract interface (SpeechEngine), standardizing input text buffering, pitch/rate modulation, and audio stream callbacks. This decouples upper-layer services from underlying synthesizer implementations, allowing seamless fallback from neural models to formant synthesis during resource exhaustion.</w:t>
      </w:r>
    </w:p>
    <w:p>
      <w:pPr>
        <w:pStyle w:val="Normal"/>
        <w:bidi w:val="0"/>
        <w:rPr/>
      </w:pPr>
      <w:r>
        <w:rPr/>
        <w:t>3. Voice Model Management Paper</w:t>
      </w:r>
    </w:p>
    <w:p>
      <w:pPr>
        <w:pStyle w:val="Normal"/>
        <w:bidi w:val="0"/>
        <w:rPr/>
      </w:pPr>
      <w:r>
        <w:rPr/>
        <w:t>Model Lifecycle &amp; Storage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Where Models Live: All neural weights, config JSONs, and speaker profile data reside within /models/ partitioned by engine type (e.g., /models/piper/ and /models/espeak/).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Download Strategy: Models are fetched dynamically via an authenticated manifest CLI tool during system provisioning or updated via local secure mirrors, preventing runtime blocking of the main thread.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Versioning: Models utilize semantic version stamping linked to engine compatibility headers, ensuring updates never break active synthesis streams or introduce memory alignment faults.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Backup Voices: A lightweight eSpeak-NG formant baseline is baked directly into the immutable root partition as an uncompressed fallback, ensuring speech output remains active even during total storage corruption or offline provisioning.</w:t>
      </w:r>
    </w:p>
    <w:p>
      <w:pPr>
        <w:pStyle w:val="Normal"/>
        <w:bidi w:val="0"/>
        <w:rPr/>
      </w:pPr>
      <w:r>
        <w:rPr/>
        <w:t>4. Accessibility Services Paper</w:t>
      </w:r>
    </w:p>
    <w:p>
      <w:pPr>
        <w:pStyle w:val="Normal"/>
        <w:bidi w:val="0"/>
        <w:rPr/>
      </w:pPr>
      <w:r>
        <w:rPr/>
        <w:t>Core Subsystems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Screen Readers: Low-latency event interceptors capturing window focus, keyboard input, and terminal mutations, feeding structured text streams directly to the speech engine abstraction layer.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Braille Integration: Native BRLTTY and Liblouis bindings translating screen buffers into 8-dot and 6-dot braille cell arrays routed over USB and Bluetooth HID profiles.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Audio Cues: Non-blocking, spatialized earcons and auditory icons providing immediate confirmation of system actions, progress states, and spatial warnings.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Logging Accessibility Events: Every focus change, speech utterance, and braille cell refresh is written to an atomic ring-buffer log (/logs/accessibility.log), providing complete audit trails for regression testing and assistive debugging.</w:t>
      </w:r>
    </w:p>
    <w:p>
      <w:pPr>
        <w:pStyle w:val="Normal"/>
        <w:bidi w:val="0"/>
        <w:rPr/>
      </w:pPr>
      <w:r>
        <w:rPr/>
        <w:t>5. Agent Framework Paper</w:t>
      </w:r>
    </w:p>
    <w:p>
      <w:pPr>
        <w:pStyle w:val="Normal"/>
        <w:bidi w:val="0"/>
        <w:rPr/>
      </w:pPr>
      <w:r>
        <w:rPr/>
        <w:t>Persona Architecture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Marcus: The primary technical co-pilot and system assistant persona, optimized for concise command execution, hardware telemetry monitoring, and developer scaffolding.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Future Personas: Modular architecture supports specialized domain agents (e.g., navigation guides, system administrators, medical assistants) loaded dynamically on demand.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Service Discovery: Agents register capabilities and event listeners over a lightweight, zero-copy local message bus operating within the kernel IPC framework.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Communication Methods: Inter-agent and user-to-agent communication relies on structured JSON-RPC over local Unix domain sockets, guaranteeing deterministic message delivery bounds under the 94 ms reflex limit.</w:t>
      </w:r>
    </w:p>
    <w:p>
      <w:pPr>
        <w:pStyle w:val="Normal"/>
        <w:bidi w:val="0"/>
        <w:rPr/>
      </w:pPr>
      <w:r>
        <w:rPr/>
        <w:t>6. Configuration Management Paper</w:t>
      </w:r>
    </w:p>
    <w:p>
      <w:pPr>
        <w:pStyle w:val="Normal"/>
        <w:bidi w:val="0"/>
        <w:rPr/>
      </w:pPr>
      <w:r>
        <w:rPr/>
        <w:t>Schema &amp; Hierarchy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YAML &amp; JSON: System-wide daemon configurations and hardware profiles use strict YAML schemas for human readability, compiled into high-performance binary JSON formats at boot for zero-latency parsing.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Environment Variables: Runtime overrides and temporary testing parameters are injected via standard environment vectors processed during initialization.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User Profiles: Layered configuration structure (/config/users/) isolating global system defaults from individual user accessibility preferences, keybindings, and voice model selections.</w:t>
      </w:r>
    </w:p>
    <w:p>
      <w:pPr>
        <w:pStyle w:val="Normal"/>
        <w:bidi w:val="0"/>
        <w:rPr/>
      </w:pPr>
      <w:r>
        <w:rPr/>
        <w:t>7. Audio Routing Paper</w:t>
      </w:r>
    </w:p>
    <w:p>
      <w:pPr>
        <w:pStyle w:val="Normal"/>
        <w:bidi w:val="0"/>
        <w:rPr/>
      </w:pPr>
      <w:r>
        <w:rPr/>
        <w:t>Subsystem Stack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ALSA: Direct kernel-level hardware access layer ensuring minimum possible driver latency for critical safety audio alerts.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PulseAudio / PipeWire: Managed user-space audio servers handling stream mixing, bluetooth headset routing, and spatial audio HRTF filtering.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WSlg &amp; Native Linux Audio: Bridges containerized and graphical subsystem audio streams directly into the PipeWire mixing graph, ensuring seamless speech feedback across host and guest environments.</w:t>
      </w:r>
    </w:p>
    <w:p>
      <w:pPr>
        <w:pStyle w:val="Normal"/>
        <w:bidi w:val="0"/>
        <w:rPr/>
      </w:pPr>
      <w:r>
        <w:rPr/>
        <w:t>8. Testing and Validation Paper</w:t>
      </w:r>
    </w:p>
    <w:p>
      <w:pPr>
        <w:pStyle w:val="Normal"/>
        <w:bidi w:val="0"/>
        <w:rPr/>
      </w:pPr>
      <w:r>
        <w:rPr/>
        <w:t>Automated Verification Suites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Speech Tests: Automated phonetic validation scripts checking output audio against reference transcriptions to catch pronunciation or synthesis regression bugs.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Audio Tests: Latency profiling harnesses measuring the exact millisecond delta between event trigger and audio buffer transmission, enforcing the hard real-time constraint.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Accessibility Regression Tests: Automated UI tree traversal tests ensuring every interactive component exposes valid screen-reader labels, tab-order indexes, and shortcut hooks.</w:t>
      </w:r>
    </w:p>
    <w:p>
      <w:pPr>
        <w:pStyle w:val="Normal"/>
        <w:bidi w:val="0"/>
        <w:rPr/>
      </w:pPr>
      <w:r>
        <w:rPr/>
        <w:t>Nice-To-Have Papers (Summaries)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9. Logging and Diagnostics Paper: Defines centralized log rotation, panic dump handlers, and telemetry ring buffers for zero-allocation debugging.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10. Package and Installer Paper: Outlines reproducible container builds, partition layout scripts, and minimal ISO generation pipelines.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11. Security and Permissions Paper: Details capability-based access control, secure boot verification, and isolated execution sandboxes for untrusted modules.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12. Documentation Structure Paper: Establishes guidelines for living technical docs, API auto-generation, and screen-reader-optimized markdown formatting.</w:t>
      </w:r>
    </w:p>
    <w:p>
      <w:pPr>
        <w:pStyle w:val="Normal"/>
        <w:bidi w:val="0"/>
        <w:rPr/>
      </w:pPr>
      <w:r>
        <w:rPr/>
        <w:t>Master Architecture Paper</w:t>
      </w:r>
    </w:p>
    <w:p>
      <w:pPr>
        <w:pStyle w:val="Normal"/>
        <w:bidi w:val="0"/>
        <w:rPr/>
      </w:pPr>
      <w:r>
        <w:rPr/>
        <w:t>Based on all established design decisions across accessibility, real-time audio routing, agent communication, and subsystem modularity, the recommended directory structure is optimized as follows:</w:t>
      </w:r>
    </w:p>
    <w:p>
      <w:pPr>
        <w:pStyle w:val="Normal"/>
        <w:bidi w:val="0"/>
        <w:rPr/>
      </w:pPr>
      <w:r>
        <w:rPr/>
        <w:t>Plaintext</w:t>
      </w:r>
    </w:p>
    <w:p>
      <w:pPr>
        <w:pStyle w:val="Normal"/>
        <w:bidi w:val="0"/>
        <w:rPr/>
      </w:pPr>
      <w:r>
        <w:rPr/>
        <w:t>Download code</w:t>
      </w:r>
    </w:p>
    <w:p>
      <w:pPr>
        <w:pStyle w:val="Normal"/>
        <w:bidi w:val="0"/>
        <w:rPr/>
      </w:pPr>
      <w:r>
        <w:rPr/>
        <w:t>Copy code</w:t>
      </w:r>
    </w:p>
    <w:p>
      <w:pPr>
        <w:pStyle w:val="Normal"/>
        <w:bidi w:val="0"/>
        <w:rPr/>
      </w:pPr>
      <w:r>
        <w:rPr/>
        <w:t>/home/accessible-scripts</w:t>
      </w:r>
    </w:p>
    <w:p>
      <w:pPr>
        <w:pStyle w:val="Normal"/>
        <w:bidi w:val="0"/>
        <w:rPr/>
      </w:pPr>
      <w:r>
        <w:rPr/>
        <w:t xml:space="preserve">├── </w:t>
      </w:r>
      <w:r>
        <w:rPr/>
        <w:t>agents</w:t>
      </w:r>
    </w:p>
    <w:p>
      <w:pPr>
        <w:pStyle w:val="Normal"/>
        <w:bidi w:val="0"/>
        <w:rPr/>
      </w:pPr>
      <w:r>
        <w:rPr/>
        <w:t xml:space="preserve">├── </w:t>
      </w:r>
      <w:r>
        <w:rPr/>
        <w:t>audio</w:t>
      </w:r>
    </w:p>
    <w:p>
      <w:pPr>
        <w:pStyle w:val="Normal"/>
        <w:bidi w:val="0"/>
        <w:rPr/>
      </w:pPr>
      <w:r>
        <w:rPr/>
        <w:t xml:space="preserve">├── </w:t>
      </w:r>
      <w:r>
        <w:rPr/>
        <w:t>config</w:t>
      </w:r>
    </w:p>
    <w:p>
      <w:pPr>
        <w:pStyle w:val="Normal"/>
        <w:bidi w:val="0"/>
        <w:rPr/>
      </w:pPr>
      <w:r>
        <w:rPr/>
        <w:t xml:space="preserve">├── </w:t>
      </w:r>
      <w:r>
        <w:rPr/>
        <w:t>docs</w:t>
      </w:r>
    </w:p>
    <w:p>
      <w:pPr>
        <w:pStyle w:val="Normal"/>
        <w:bidi w:val="0"/>
        <w:rPr/>
      </w:pPr>
      <w:r>
        <w:rPr/>
        <w:t xml:space="preserve">├── </w:t>
      </w:r>
      <w:r>
        <w:rPr/>
        <w:t>engines</w:t>
      </w:r>
    </w:p>
    <w:p>
      <w:pPr>
        <w:pStyle w:val="Normal"/>
        <w:bidi w:val="0"/>
        <w:rPr/>
      </w:pPr>
      <w:r>
        <w:rPr/>
        <w:t xml:space="preserve">├── </w:t>
      </w:r>
      <w:r>
        <w:rPr/>
        <w:t>installers</w:t>
      </w:r>
    </w:p>
    <w:p>
      <w:pPr>
        <w:pStyle w:val="Normal"/>
        <w:bidi w:val="0"/>
        <w:rPr/>
      </w:pPr>
      <w:r>
        <w:rPr/>
        <w:t xml:space="preserve">├── </w:t>
      </w:r>
      <w:r>
        <w:rPr/>
        <w:t>logs</w:t>
      </w:r>
    </w:p>
    <w:p>
      <w:pPr>
        <w:pStyle w:val="Normal"/>
        <w:bidi w:val="0"/>
        <w:rPr/>
      </w:pPr>
      <w:r>
        <w:rPr/>
        <w:t xml:space="preserve">├── </w:t>
      </w:r>
      <w:r>
        <w:rPr/>
        <w:t>models</w:t>
      </w:r>
    </w:p>
    <w:p>
      <w:pPr>
        <w:pStyle w:val="Normal"/>
        <w:bidi w:val="0"/>
        <w:rPr/>
      </w:pPr>
      <w:r>
        <w:rPr/>
        <w:t xml:space="preserve">├── </w:t>
      </w:r>
      <w:r>
        <w:rPr/>
        <w:t>scripts</w:t>
      </w:r>
    </w:p>
    <w:p>
      <w:pPr>
        <w:pStyle w:val="Normal"/>
        <w:bidi w:val="0"/>
        <w:rPr/>
      </w:pPr>
      <w:r>
        <w:rPr/>
        <w:t xml:space="preserve">├── </w:t>
      </w:r>
      <w:r>
        <w:rPr/>
        <w:t>tests</w:t>
      </w:r>
    </w:p>
    <w:p>
      <w:pPr>
        <w:pStyle w:val="Normal"/>
        <w:bidi w:val="0"/>
        <w:rPr/>
      </w:pPr>
      <w:r>
        <w:rPr/>
        <w:t xml:space="preserve">├── </w:t>
      </w:r>
      <w:r>
        <w:rPr/>
        <w:t>tools</w:t>
      </w:r>
    </w:p>
    <w:p>
      <w:pPr>
        <w:pStyle w:val="Normal"/>
        <w:bidi w:val="0"/>
        <w:rPr/>
      </w:pPr>
      <w:r>
        <w:rPr/>
        <w:t xml:space="preserve">└── </w:t>
      </w:r>
      <w:r>
        <w:rPr/>
        <w:t>voices</w:t>
      </w:r>
    </w:p>
    <w:p>
      <w:pPr>
        <w:pStyle w:val="Normal"/>
        <w:bidi w:val="0"/>
        <w:rPr/>
      </w:pPr>
      <w:r>
        <w:rPr/>
        <w:t>What would you like to execute next?</w:t>
      </w:r>
    </w:p>
    <w:p>
      <w:pPr>
        <w:pStyle w:val="Normal"/>
        <w:bidi w:val="0"/>
        <w:rPr/>
      </w:pPr>
      <w:r>
        <w:rPr/>
        <w:t>Generate the root installation and workspace setup script</w:t>
      </w:r>
    </w:p>
    <w:p>
      <w:pPr>
        <w:pStyle w:val="Normal"/>
        <w:bidi w:val="0"/>
        <w:rPr/>
      </w:pPr>
      <w:r>
        <w:rPr/>
        <w:t>Draft the core Engine Abstraction Layer C header</w:t>
      </w:r>
    </w:p>
    <w:p>
      <w:pPr>
        <w:pStyle w:val="Normal"/>
        <w:bidi w:val="0"/>
        <w:rPr/>
      </w:pPr>
      <w:r>
        <w:rPr/>
        <w:t>Good response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  <Pages>4</Pages>
  <Words>1080</Words>
  <Characters>7370</Characters>
  <CharactersWithSpaces>8364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2026-10-12T06:02:50Z</dcterms:created>
  <dc:creator/>
  <dc:description/>
  <dc:language>en-US</dc:language>
  <cp:lastModifiedBy/>
  <dcterms:modified xsi:type="dcterms:W3CDTF">2026-10-12T06:03:43Z</dcterms:modified>
  <cp:revision>1</cp:revision>
  <dc:subject/>
  <dc:title/>
</cp:coreProperties>
</file>