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ReflexOS Mechanical Architecture &amp; Manufacturing Specification</w:t>
      </w:r>
    </w:p>
    <w:p>
      <w:pPr>
        <w:pStyle w:val="Normal"/>
        <w:bidi w:val="0"/>
        <w:rPr/>
      </w:pPr>
      <w:r>
        <w:rPr/>
        <w:t>1. Enclosure Standards</w:t>
      </w:r>
    </w:p>
    <w:p>
      <w:pPr>
        <w:pStyle w:val="Normal"/>
        <w:bidi w:val="0"/>
        <w:rPr/>
      </w:pPr>
      <w:r>
        <w:rPr/>
        <w:t xml:space="preserve">• </w:t>
      </w:r>
    </w:p>
    <w:p>
      <w:pPr>
        <w:pStyle w:val="Normal"/>
        <w:bidi w:val="0"/>
        <w:rPr/>
      </w:pPr>
      <w:r>
        <w:rPr/>
        <w:t>Material &amp; Structural Integrity: Enclosures must be molded from engineering-grade, high-impact thermoplastics (specifically flame-retardant Polycarbonate/ABS blends such as Bayblend FR3010) capable of withstanding industrial drop impacts from 1.5 meters onto concrete without structural housing fracture.</w:t>
      </w:r>
    </w:p>
    <w:p>
      <w:pPr>
        <w:pStyle w:val="Normal"/>
        <w:bidi w:val="0"/>
        <w:rPr/>
      </w:pPr>
      <w:r>
        <w:rPr/>
        <w:t xml:space="preserve">• </w:t>
      </w:r>
    </w:p>
    <w:p>
      <w:pPr>
        <w:pStyle w:val="Normal"/>
        <w:bidi w:val="0"/>
        <w:rPr/>
      </w:pPr>
      <w:r>
        <w:rPr/>
        <w:t>Ingress Protection (IP) Rating: All portable wear-units and outdoor actuator chassis must achieve a minimum IP67 rating, ensuring complete dust-tight sealing and protection against temporary water immersion up to 1 meter for 30 minutes. Gaskets must utilize closed-cell EPDM rubber seals compressed evenly via torque-managed fasteners.</w:t>
      </w:r>
    </w:p>
    <w:p>
      <w:pPr>
        <w:pStyle w:val="Normal"/>
        <w:bidi w:val="0"/>
        <w:rPr/>
      </w:pPr>
      <w:r>
        <w:rPr/>
        <w:t xml:space="preserve">• </w:t>
      </w:r>
    </w:p>
    <w:p>
      <w:pPr>
        <w:pStyle w:val="Normal"/>
        <w:bidi w:val="0"/>
        <w:rPr/>
      </w:pPr>
      <w:r>
        <w:rPr/>
        <w:t>Ergonomic Radii: Handheld controllers and wearable enclosures must feature continuous ergonomic fillets (minimum 3.0 mm radius on all external edges) to eliminate sharp pressure points during prolonged tactile exploration.</w:t>
      </w:r>
    </w:p>
    <w:p>
      <w:pPr>
        <w:pStyle w:val="Normal"/>
        <w:bidi w:val="0"/>
        <w:rPr/>
      </w:pPr>
      <w:r>
        <w:rPr/>
        <w:t>2. Screw Standards</w:t>
      </w:r>
    </w:p>
    <w:p>
      <w:pPr>
        <w:pStyle w:val="Normal"/>
        <w:bidi w:val="0"/>
        <w:rPr/>
      </w:pPr>
      <w:r>
        <w:rPr/>
        <w:t xml:space="preserve">• </w:t>
      </w:r>
    </w:p>
    <w:p>
      <w:pPr>
        <w:pStyle w:val="Normal"/>
        <w:bidi w:val="0"/>
        <w:rPr/>
      </w:pPr>
      <w:r>
        <w:rPr/>
        <w:t>Fastener Profile: All internal and external mechanical assemblies shall exclusively utilize Torx (T6 to T10) or Hex-socket drive screws. Phillips and flat-head screws are strictly prohibited to prevent stripping and tool slippage during non-visual maintenance.</w:t>
      </w:r>
    </w:p>
    <w:p>
      <w:pPr>
        <w:pStyle w:val="Normal"/>
        <w:bidi w:val="0"/>
        <w:rPr/>
      </w:pPr>
      <w:r>
        <w:rPr/>
        <w:t xml:space="preserve">• </w:t>
      </w:r>
    </w:p>
    <w:p>
      <w:pPr>
        <w:pStyle w:val="Normal"/>
        <w:bidi w:val="0"/>
        <w:rPr/>
      </w:pPr>
      <w:r>
        <w:rPr/>
        <w:t>Thread Standards &amp; Inserts: Plastic housing assemblies must incorporate brass thermal-set threaded inserts (M2 to M4 metric thread pitch) ultrasonically embedded into molded bosses. Direct self-tapping screws into plastic posts are strictly forbidden to ensure repeatable, wear-free disassembly.</w:t>
      </w:r>
    </w:p>
    <w:p>
      <w:pPr>
        <w:pStyle w:val="Normal"/>
        <w:bidi w:val="0"/>
        <w:rPr/>
      </w:pPr>
      <w:r>
        <w:rPr/>
        <w:t xml:space="preserve">• </w:t>
      </w:r>
    </w:p>
    <w:p>
      <w:pPr>
        <w:pStyle w:val="Normal"/>
        <w:bidi w:val="0"/>
        <w:rPr/>
      </w:pPr>
      <w:r>
        <w:rPr/>
        <w:t>Thread-Locking Protocols: All fasteners exposed to high-vibration drone chassis or heavy machinery environments must incorporate pre-applied micro-encapsulated thread-locking adhesives (equivalent to Loctite 222 low-strength or 243 medium-strength formulas) to prevent operational loosening.</w:t>
      </w:r>
    </w:p>
    <w:p>
      <w:pPr>
        <w:pStyle w:val="Normal"/>
        <w:bidi w:val="0"/>
        <w:rPr/>
      </w:pPr>
      <w:r>
        <w:rPr/>
        <w:t>3. Cooling Standards</w:t>
      </w:r>
    </w:p>
    <w:p>
      <w:pPr>
        <w:pStyle w:val="Normal"/>
        <w:bidi w:val="0"/>
        <w:rPr/>
      </w:pPr>
      <w:r>
        <w:rPr/>
        <w:t xml:space="preserve">• </w:t>
      </w:r>
    </w:p>
    <w:p>
      <w:pPr>
        <w:pStyle w:val="Normal"/>
        <w:bidi w:val="0"/>
        <w:rPr/>
      </w:pPr>
      <w:r>
        <w:rPr/>
        <w:t>Passive Thermal Dissipation First: Enclosure designs must prioritize passive cooling, utilizing the internal aluminum chassis frame and external anodized aluminum heat-sink fins as primary thermal conduits for the Qualcomm QRB5165 RB5 and auxiliary co-processors.</w:t>
      </w:r>
    </w:p>
    <w:p>
      <w:pPr>
        <w:pStyle w:val="Normal"/>
        <w:bidi w:val="0"/>
        <w:rPr/>
      </w:pPr>
      <w:r>
        <w:rPr/>
        <w:t xml:space="preserve">• </w:t>
      </w:r>
    </w:p>
    <w:p>
      <w:pPr>
        <w:pStyle w:val="Normal"/>
        <w:bidi w:val="0"/>
        <w:rPr/>
      </w:pPr>
      <w:r>
        <w:rPr/>
        <w:t>Sealed Active Airflow (When Required): If active fan cooling is required for heavy-duty actuator nodes, the airflow path must be completely isolated from sensitive electronics chambers via ducted plenums, utilizing fine stainless steel mesh dust filters rated to block particulate ingress down to 100 microns.</w:t>
      </w:r>
    </w:p>
    <w:p>
      <w:pPr>
        <w:pStyle w:val="Normal"/>
        <w:bidi w:val="0"/>
        <w:rPr/>
      </w:pPr>
      <w:r>
        <w:rPr/>
        <w:t xml:space="preserve">• </w:t>
      </w:r>
    </w:p>
    <w:p>
      <w:pPr>
        <w:pStyle w:val="Normal"/>
        <w:bidi w:val="0"/>
        <w:rPr/>
      </w:pPr>
      <w:r>
        <w:rPr/>
        <w:t>Thermal Interface Materials (TIM): High-performance, non-silicone, phase-change thermal pads (minimum thermal conductivity of 3.5 W/m-K) must be sandwiched between silicon dies and aluminum thermal spreader plates to prevent pump-out degradation under thermal cycling.</w:t>
      </w:r>
    </w:p>
    <w:p>
      <w:pPr>
        <w:pStyle w:val="Normal"/>
        <w:bidi w:val="0"/>
        <w:rPr/>
      </w:pPr>
      <w:r>
        <w:rPr/>
        <w:t>4. Board Mounting Standards</w:t>
      </w:r>
    </w:p>
    <w:p>
      <w:pPr>
        <w:pStyle w:val="Normal"/>
        <w:bidi w:val="0"/>
        <w:rPr/>
      </w:pPr>
      <w:r>
        <w:rPr/>
        <w:t xml:space="preserve">• </w:t>
      </w:r>
    </w:p>
    <w:p>
      <w:pPr>
        <w:pStyle w:val="Normal"/>
        <w:bidi w:val="0"/>
        <w:rPr/>
      </w:pPr>
      <w:r>
        <w:rPr/>
        <w:t>Isolation &amp; Shock Mitigation: Printed Circuit Board (PCB) assemblies must be mounted to the internal structural frame using elastomeric vibration dampers or rubber-isolated standoffs, isolating high-frequency motor vibrations and mechanical shocks from sensitive IMU and radar components.</w:t>
      </w:r>
    </w:p>
    <w:p>
      <w:pPr>
        <w:pStyle w:val="Normal"/>
        <w:bidi w:val="0"/>
        <w:rPr/>
      </w:pPr>
      <w:r>
        <w:rPr/>
        <w:t xml:space="preserve">• </w:t>
      </w:r>
    </w:p>
    <w:p>
      <w:pPr>
        <w:pStyle w:val="Normal"/>
        <w:bidi w:val="0"/>
        <w:rPr/>
      </w:pPr>
      <w:r>
        <w:rPr/>
        <w:t>Polarized and Keyed Connectors: All internal board-to-board wiring harnesses and peripheral flex-cables must use mechanically keyed, positive-latching connectors (e.g., Hirose DF13 or JST GH series) to prevent incorrect reverse-insertion during maintenance.</w:t>
      </w:r>
    </w:p>
    <w:p>
      <w:pPr>
        <w:pStyle w:val="Normal"/>
        <w:bidi w:val="0"/>
        <w:rPr/>
      </w:pPr>
      <w:r>
        <w:rPr/>
        <w:t xml:space="preserve">• </w:t>
      </w:r>
    </w:p>
    <w:p>
      <w:pPr>
        <w:pStyle w:val="Normal"/>
        <w:bidi w:val="0"/>
        <w:rPr/>
      </w:pPr>
      <w:r>
        <w:rPr/>
        <w:t>Clearance Envelopes: A strict 1.5 mm non-component perimeter clearance zone must be maintained around all board edges to prevent mechanical binding against internal housing ribs during thermal expansion.</w:t>
      </w:r>
    </w:p>
    <w:p>
      <w:pPr>
        <w:pStyle w:val="Normal"/>
        <w:bidi w:val="0"/>
        <w:rPr/>
      </w:pPr>
      <w:r>
        <w:rPr/>
        <w:t>5. Tactile Marker Standards</w:t>
      </w:r>
    </w:p>
    <w:p>
      <w:pPr>
        <w:pStyle w:val="Normal"/>
        <w:bidi w:val="0"/>
        <w:rPr/>
      </w:pPr>
      <w:r>
        <w:rPr/>
        <w:t xml:space="preserve">• </w:t>
      </w:r>
    </w:p>
    <w:p>
      <w:pPr>
        <w:pStyle w:val="Normal"/>
        <w:bidi w:val="0"/>
        <w:rPr/>
      </w:pPr>
      <w:r>
        <w:rPr/>
        <w:t>Orientation &amp; Hand Guidance: Every physical port, primary power button, emergency stop switch, and removable cover must feature raised tactile geometry molded directly into the enclosure surface, allowing instant identification via touch alone.</w:t>
      </w:r>
    </w:p>
    <w:p>
      <w:pPr>
        <w:pStyle w:val="Normal"/>
        <w:bidi w:val="0"/>
        <w:rPr/>
      </w:pPr>
      <w:r>
        <w:rPr/>
        <w:t xml:space="preserve">• </w:t>
      </w:r>
    </w:p>
    <w:p>
      <w:pPr>
        <w:pStyle w:val="Normal"/>
        <w:bidi w:val="0"/>
        <w:rPr/>
      </w:pPr>
      <w:r>
        <w:rPr/>
        <w:t>Standardized Shape Grammar:</w:t>
      </w:r>
    </w:p>
    <w:p>
      <w:pPr>
        <w:pStyle w:val="Normal"/>
        <w:bidi w:val="0"/>
        <w:rPr/>
      </w:pPr>
      <w:r>
        <w:rPr/>
        <w:t xml:space="preserve">• </w:t>
      </w:r>
    </w:p>
    <w:p>
      <w:pPr>
        <w:pStyle w:val="Normal"/>
        <w:bidi w:val="0"/>
        <w:rPr/>
      </w:pPr>
      <w:r>
        <w:rPr/>
        <w:t>Power / Main Toggle: Raised circular domed profile with a central dimple.</w:t>
      </w:r>
    </w:p>
    <w:p>
      <w:pPr>
        <w:pStyle w:val="Normal"/>
        <w:bidi w:val="0"/>
        <w:rPr/>
      </w:pPr>
      <w:r>
        <w:rPr/>
        <w:t xml:space="preserve">• </w:t>
      </w:r>
    </w:p>
    <w:p>
      <w:pPr>
        <w:pStyle w:val="Normal"/>
        <w:bidi w:val="0"/>
        <w:rPr/>
      </w:pPr>
      <w:r>
        <w:rPr/>
        <w:t>Emergency Stop / E-Stop: Deeply recessed square toggle surrounded by a raised ridged bezel.</w:t>
      </w:r>
    </w:p>
    <w:p>
      <w:pPr>
        <w:pStyle w:val="Normal"/>
        <w:bidi w:val="0"/>
        <w:rPr/>
      </w:pPr>
      <w:r>
        <w:rPr/>
        <w:t xml:space="preserve">• </w:t>
      </w:r>
    </w:p>
    <w:p>
      <w:pPr>
        <w:pStyle w:val="Normal"/>
        <w:bidi w:val="0"/>
        <w:rPr/>
      </w:pPr>
      <w:r>
        <w:rPr/>
        <w:t>USB / Data Ports: Standardized raised linear ridges running parallel to the insertion axis.</w:t>
      </w:r>
    </w:p>
    <w:p>
      <w:pPr>
        <w:pStyle w:val="Normal"/>
        <w:bidi w:val="0"/>
        <w:rPr/>
      </w:pPr>
      <w:r>
        <w:rPr/>
        <w:t xml:space="preserve">• </w:t>
      </w:r>
    </w:p>
    <w:p>
      <w:pPr>
        <w:pStyle w:val="Normal"/>
        <w:bidi w:val="0"/>
        <w:rPr/>
      </w:pPr>
      <w:r>
        <w:rPr/>
        <w:t>Braille Embossing: Critical status indicators and model identification stamps must include Grade 1 Braille cell dots cast directly into the structural plastic or laser-etched onto durable stainless steel rating plates.</w:t>
      </w:r>
    </w:p>
    <w:p>
      <w:pPr>
        <w:pStyle w:val="Normal"/>
        <w:bidi w:val="0"/>
        <w:rPr/>
      </w:pPr>
      <w:r>
        <w:rPr/>
        <w:t>6. Accessibility Labeling Standards</w:t>
      </w:r>
    </w:p>
    <w:p>
      <w:pPr>
        <w:pStyle w:val="Normal"/>
        <w:bidi w:val="0"/>
        <w:rPr/>
      </w:pPr>
      <w:r>
        <w:rPr/>
        <w:t xml:space="preserve">• </w:t>
      </w:r>
    </w:p>
    <w:p>
      <w:pPr>
        <w:pStyle w:val="Normal"/>
        <w:bidi w:val="0"/>
        <w:rPr/>
      </w:pPr>
      <w:r>
        <w:rPr/>
        <w:t>High-Contrast Visual Markings: For low-vision users or sighted assistants, all silkscreen or laser-etched text on PCBs and internal components must enforce a minimum contrast ratio of 7:1 against the substrate background, utilizing matte white or safety yellow lettering on dark anodized or black surfaces.</w:t>
      </w:r>
    </w:p>
    <w:p>
      <w:pPr>
        <w:pStyle w:val="Normal"/>
        <w:bidi w:val="0"/>
        <w:rPr/>
      </w:pPr>
      <w:r>
        <w:rPr/>
        <w:t xml:space="preserve">• </w:t>
      </w:r>
    </w:p>
    <w:p>
      <w:pPr>
        <w:pStyle w:val="Normal"/>
        <w:bidi w:val="0"/>
        <w:rPr/>
      </w:pPr>
      <w:r>
        <w:rPr/>
        <w:t>QR &amp; NFC Asset Tagging: Every device must feature a recessed, laser-engraved Data Matrix / QR code paired with an embedded NTAG215 NFC tag beneath the surface resin. Scanning the tag instantly triggers the system to read out device serial numbers, hardware revision specs, and maintenance logs via text-to-speech.</w:t>
      </w:r>
    </w:p>
    <w:p>
      <w:pPr>
        <w:pStyle w:val="Normal"/>
        <w:bidi w:val="0"/>
        <w:rPr/>
      </w:pPr>
      <w:r>
        <w:rPr/>
        <w:t>7. Maintenance Access Requirements</w:t>
      </w:r>
    </w:p>
    <w:p>
      <w:pPr>
        <w:pStyle w:val="Normal"/>
        <w:bidi w:val="0"/>
        <w:rPr/>
      </w:pPr>
      <w:r>
        <w:rPr/>
        <w:t xml:space="preserve">• </w:t>
      </w:r>
    </w:p>
    <w:p>
      <w:pPr>
        <w:pStyle w:val="Normal"/>
        <w:bidi w:val="0"/>
        <w:rPr/>
      </w:pPr>
      <w:r>
        <w:rPr/>
        <w:t>Tool-Free Quick Access: Battery compartments, SIM/storage card slots, and primary diagnostic ports must be accessible via tool-free, quarter-turn quarter-lock latches equipped with tactile release tabs.</w:t>
      </w:r>
    </w:p>
    <w:p>
      <w:pPr>
        <w:pStyle w:val="Normal"/>
        <w:bidi w:val="0"/>
        <w:rPr/>
      </w:pPr>
      <w:r>
        <w:rPr/>
        <w:t xml:space="preserve">• </w:t>
      </w:r>
    </w:p>
    <w:p>
      <w:pPr>
        <w:pStyle w:val="Normal"/>
        <w:bidi w:val="0"/>
        <w:rPr/>
      </w:pPr>
      <w:r>
        <w:rPr/>
        <w:t>Modular Sub-Assemblies: The internal architecture must follow a modular "brick" design where the compute core, power distribution board, communication radios, and sensor arrays can be independently extracted and replaced using a single Torx driver size (T8) without unsoldering wires.</w:t>
      </w:r>
    </w:p>
    <w:p>
      <w:pPr>
        <w:pStyle w:val="Normal"/>
        <w:bidi w:val="0"/>
        <w:rPr/>
      </w:pPr>
      <w:r>
        <w:rPr/>
        <w:t xml:space="preserve">• </w:t>
      </w:r>
    </w:p>
    <w:p>
      <w:pPr>
        <w:pStyle w:val="Normal"/>
        <w:bidi w:val="0"/>
        <w:rPr/>
      </w:pPr>
      <w:r>
        <w:rPr/>
        <w:t>Captive Fasteners: All service panels and covers must utilize captive screws that remain attached to the removed panel, preventing dropped or lost fasteners during field servicing in degraded environments.</w:t>
      </w:r>
    </w:p>
    <w:p>
      <w:pPr>
        <w:pStyle w:val="Normal"/>
        <w:bidi w:val="0"/>
        <w:rPr/>
      </w:pPr>
      <w:r>
        <w:rPr/>
        <w:t>8. Print Material Requirements</w:t>
      </w:r>
    </w:p>
    <w:p>
      <w:pPr>
        <w:pStyle w:val="Normal"/>
        <w:bidi w:val="0"/>
        <w:rPr/>
      </w:pPr>
      <w:r>
        <w:rPr/>
        <w:t xml:space="preserve">• </w:t>
      </w:r>
    </w:p>
    <w:p>
      <w:pPr>
        <w:pStyle w:val="Normal"/>
        <w:bidi w:val="0"/>
        <w:rPr/>
      </w:pPr>
      <w:r>
        <w:rPr/>
        <w:t>Prototyping &amp; Rapid Tooling: Initial iterative prototyping must utilize industrial-grade FDM materials with high thermal deflection temperatures (e.g., carbon-fiber reinforced Polycarbonate or ASA) or SLA engineering resins (e.g., Somos Taurus) exhibiting high tensile strength and impact resistance.</w:t>
      </w:r>
    </w:p>
    <w:p>
      <w:pPr>
        <w:pStyle w:val="Normal"/>
        <w:bidi w:val="0"/>
        <w:rPr/>
      </w:pPr>
      <w:r>
        <w:rPr/>
        <w:t xml:space="preserve">• </w:t>
      </w:r>
    </w:p>
    <w:p>
      <w:pPr>
        <w:pStyle w:val="Normal"/>
        <w:bidi w:val="0"/>
        <w:rPr/>
      </w:pPr>
      <w:r>
        <w:rPr/>
        <w:t>Production Tooling Grade: Mass-manufactured enclosures must be injection-molded using certified resin pellets with documented lot traceability, UL94 V-0 flame-retardant ratings, and UV-stabilized weather-resistant additives for outdoor deployment.</w:t>
      </w:r>
    </w:p>
    <w:p>
      <w:pPr>
        <w:pStyle w:val="Normal"/>
        <w:bidi w:val="0"/>
        <w:rPr/>
      </w:pPr>
      <w:r>
        <w:rPr/>
        <w:t>9. Service Clearance Requirements</w:t>
      </w:r>
    </w:p>
    <w:p>
      <w:pPr>
        <w:pStyle w:val="Normal"/>
        <w:bidi w:val="0"/>
        <w:rPr/>
      </w:pPr>
      <w:r>
        <w:rPr/>
        <w:t xml:space="preserve">• </w:t>
      </w:r>
    </w:p>
    <w:p>
      <w:pPr>
        <w:pStyle w:val="Normal"/>
        <w:bidi w:val="0"/>
        <w:rPr/>
      </w:pPr>
      <w:r>
        <w:rPr/>
        <w:t>Internal Ergonomic Clearance: Internal cable routings must maintain a minimum 2.0 mm clearance distance from sharp structural edges and moving thermal paths to prevent chafing during continuous vibration.</w:t>
      </w:r>
    </w:p>
    <w:p>
      <w:pPr>
        <w:pStyle w:val="Normal"/>
        <w:bidi w:val="0"/>
        <w:rPr/>
      </w:pPr>
      <w:r>
        <w:rPr/>
        <w:t xml:space="preserve">• </w:t>
      </w:r>
    </w:p>
    <w:p>
      <w:pPr>
        <w:pStyle w:val="Normal"/>
        <w:bidi w:val="0"/>
        <w:rPr/>
      </w:pPr>
      <w:r>
        <w:rPr/>
        <w:t>Connector Access Envelopes: External connectors must feature a minimum 5.0 mm finger-clearance perimeter around the plug axis to allow users with impaired fine-motor dexterity or wearing tactile gloves to easily attach and detach cables by feel.</w:t>
      </w:r>
    </w:p>
    <w:p>
      <w:pPr>
        <w:pStyle w:val="Normal"/>
        <w:bidi w:val="0"/>
        <w:rPr/>
      </w:pPr>
      <w:r>
        <w:rPr/>
        <w:t xml:space="preserve">• </w:t>
      </w:r>
    </w:p>
    <w:p>
      <w:pPr>
        <w:pStyle w:val="Normal"/>
        <w:bidi w:val="0"/>
        <w:rPr/>
      </w:pPr>
      <w:r>
        <w:rPr/>
        <w:t>Thermal Expansion Buffer: A minimum 0.5 mm air gap must be maintained between internal sub-assemblies and housing interior walls to accommodate differential thermal expansion across operational temperature extremes ranging from  to .</w:t>
      </w:r>
    </w:p>
    <w:p>
      <w:pPr>
        <w:pStyle w:val="Normal"/>
        <w:bidi w:val="0"/>
        <w:rPr/>
      </w:pPr>
      <w:r>
        <w:rPr/>
        <w:t>The ReflexOS mechanical specification is complete. To proceed:</w:t>
      </w:r>
    </w:p>
    <w:p>
      <w:pPr>
        <w:pStyle w:val="Normal"/>
        <w:bidi w:val="0"/>
        <w:rPr/>
      </w:pPr>
      <w:r>
        <w:rPr/>
        <w:t>Review the complete architectural document index</w:t>
      </w:r>
    </w:p>
    <w:p>
      <w:pPr>
        <w:pStyle w:val="Normal"/>
        <w:bidi w:val="0"/>
        <w:rPr/>
      </w:pPr>
      <w:r>
        <w:rPr/>
        <w:t>Export the system initialization scripts</w:t>
      </w:r>
    </w:p>
    <w:p>
      <w:pPr>
        <w:pStyle w:val="Normal"/>
        <w:bidi w:val="0"/>
        <w:rPr/>
      </w:pPr>
      <w:r>
        <w:rPr/>
        <w:t>Good response</w:t>
      </w:r>
    </w:p>
    <w:p>
      <w:pPr>
        <w:pStyle w:val="Normal"/>
        <w:bidi w:val="0"/>
        <w:rPr/>
      </w:pPr>
      <w:r>
        <w:rPr/>
        <w:t>Bad response</w:t>
      </w:r>
    </w:p>
    <w:p>
      <w:pPr>
        <w:pStyle w:val="Normal"/>
        <w:bidi w:val="0"/>
        <w:rPr/>
      </w:pPr>
      <w:r>
        <w:rPr/>
        <w:t>Redo</w:t>
      </w:r>
    </w:p>
    <w:p>
      <w:pPr>
        <w:pStyle w:val="Normal"/>
        <w:bidi w:val="0"/>
        <w:rPr/>
      </w:pPr>
      <w:r>
        <w:rPr/>
        <w:t>Copy</w:t>
      </w:r>
    </w:p>
    <w:p>
      <w:pPr>
        <w:pStyle w:val="Normal"/>
        <w:bidi w:val="0"/>
        <w:rPr/>
      </w:pPr>
      <w:r>
        <w:rPr/>
        <w:t>Show more options</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Flash-Lite</w:t>
      </w:r>
    </w:p>
    <w:p>
      <w:pPr>
        <w:pStyle w:val="Normal"/>
        <w:bidi w:val="0"/>
        <w:rPr/>
      </w:pPr>
      <w:r>
        <w:rPr/>
        <w:t>Dictate (^⇧D)</w:t>
      </w:r>
    </w:p>
    <w:p>
      <w:pPr>
        <w:pStyle w:val="Normal"/>
        <w:bidi w:val="0"/>
        <w:rPr/>
      </w:pPr>
      <w:r>
        <w:rPr/>
        <w:t xml:space="preserve">Gemini is AI and can make mistakes.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3</Pages>
  <Words>989</Words>
  <Characters>6313</Characters>
  <CharactersWithSpaces>7254</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2026-10-12T07:14:41Z</dcterms:created>
  <dc:creator/>
  <dc:description/>
  <dc:language>en-US</dc:language>
  <cp:lastModifiedBy/>
  <dcterms:modified xsi:type="dcterms:W3CDTF">2026-10-12T07:14:56Z</dcterms:modified>
  <cp:revision>1</cp:revision>
  <dc:subject/>
  <dc:title/>
</cp:coreProperties>
</file>