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No. A brand-new engineer cannot build the entire system from the papers alone without making architectural decisions.</w:t>
      </w:r>
    </w:p>
    <w:p>
      <w:pPr>
        <w:pStyle w:val="Normal"/>
        <w:bidi w:val="0"/>
        <w:rPr/>
      </w:pPr>
      <w:r>
        <w:rPr/>
        <w:t>While the design papers establish rigorous boundaries, failure modes, state transitions, and priority matrices, they intentionally function as constraints and specifications rather than a step-by-step manufacturing blueprint.</w:t>
      </w:r>
    </w:p>
    <w:p>
      <w:pPr>
        <w:pStyle w:val="Normal"/>
        <w:bidi w:val="0"/>
        <w:rPr/>
      </w:pPr>
      <w:r>
        <w:rPr/>
        <w:t>The boundary between specification and implementation leaves a massive surface area where architectural decisions must still be made:</w:t>
      </w:r>
    </w:p>
    <w:p>
      <w:pPr>
        <w:pStyle w:val="Normal"/>
        <w:bidi w:val="0"/>
        <w:rPr/>
      </w:pPr>
      <w:r>
        <w:rPr/>
        <w:t>1. Specification vs. Concrete Implementation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What the papers provide: The papers define what must happen (e.g., "IPC must use zero-copy atomic ring buffers," "reflex loops must execute under 94 ms," "speech must duck by 30 dB during critical alerts").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What is missing: They do not specify exact memory buffer sizes, ring buffer lengths, atomic cache-line alignment padding, or specific lock-free memory fence instructions (std::atomic_thread_fence vs. hardware barriers) required for target architectures like ARM64 or ESP32. An engineer must decide these implementation specifics.</w:t>
      </w:r>
    </w:p>
    <w:p>
      <w:pPr>
        <w:pStyle w:val="Normal"/>
        <w:bidi w:val="0"/>
        <w:rPr/>
      </w:pPr>
      <w:r>
        <w:rPr/>
        <w:t>2. Hardware and Toolchain Dependency Resolution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The papers mandate a Qualcomm QRB5165 / RB5 or ESP32 target and a 94 ms hard real-time reflex constraint, but they do not prescribe the exact cross-compiler toolchain versions, kernel patch sets (e.g., PREEMPT_RT configurations), or device tree (.dts) pin mappings.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Selecting toolchain flags, optimizing compiler flags (-O3 vs. -Os), and resolving linker script (.ld) memory layouts for bare-metal bootloaders are all active architectural decisions left to the builder.</w:t>
      </w:r>
    </w:p>
    <w:p>
      <w:pPr>
        <w:pStyle w:val="Normal"/>
        <w:bidi w:val="0"/>
        <w:rPr/>
      </w:pPr>
      <w:r>
        <w:rPr/>
        <w:t>3. Unspecified Edge-Case Mechanics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While the failure-mode papers outline how the system reacts to crashes (e.g., restarting Marcus after two missed heartbeats), they do not write the internal locking logic for state re-hydration from SQLite WAL files.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Deciding how partial transaction frames are resolved, how vector embeddings handle schema migrations during updates, and how inter-process message serialization structs are packed requires low-level design choices.</w:t>
      </w:r>
    </w:p>
    <w:p>
      <w:pPr>
        <w:pStyle w:val="Normal"/>
        <w:bidi w:val="0"/>
        <w:rPr/>
      </w:pPr>
      <w:r>
        <w:rPr/>
        <w:t>Summary</w:t>
      </w:r>
    </w:p>
    <w:p>
      <w:pPr>
        <w:pStyle w:val="Normal"/>
        <w:bidi w:val="0"/>
        <w:rPr/>
      </w:pPr>
      <w:r>
        <w:rPr/>
        <w:t>The papers form a deterministic boundary contract—they prevent the engineer from building the wrong system (such as adding cloud telemetry, breaking real-time bounds, or introducing accessibility regressions). However, translating those contracts into running machine code requires an engineer to make dozens of lower-level architectural and implementation decisions along the way.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341</Words>
  <Characters>2107</Characters>
  <CharactersWithSpaces>2433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2026-10-12T06:46:39Z</dcterms:created>
  <dc:creator/>
  <dc:description/>
  <dc:language>en-US</dc:language>
  <cp:lastModifiedBy/>
  <dcterms:modified xsi:type="dcterms:W3CDTF">2026-10-12T06:47:03Z</dcterms:modified>
  <cp:revision>1</cp:revision>
  <dc:subject/>
  <dc:title/>
</cp:coreProperties>
</file>