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표와 그림 번호는 본편과 구분하기 위해 S를 붙인다(표 S1, 그림 S1). 본편의 번호와 섞이지 않는다.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center"/>
      </w:pPr>
      <w:r>
        <w:rPr>
          <w:b/>
          <w:sz w:val="17"/>
        </w:rPr>
        <w:t>표 S2. CASPER 두 스케줄러를 본 연구 데이터에 적용한 결과</w:t>
      </w:r>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center"/>
      </w:pPr>
      <w:r>
        <w:rPr>
          <w:b/>
          <w:sz w:val="17"/>
        </w:rPr>
        <w:t>표 S3. CICS와 본 연구를 같은 축에서 비교한 결과</w:t>
      </w:r>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고르며(같은 값이 여럿이면 가장 이른 시각을 택한다), 공간과 시간을 함께 쓰는 경우에는 리전과 시작 시각의 격자를 전수 탐색한다.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이는 본 연구의 반사실 시나리오와 다른 조건이다. 원문의 워크로드 특성 표에 용량 항목이 없고 동시 실행 수를 확인하는 코드도 없어, 용량 제약은 두지 않았다.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center"/>
      </w:pPr>
      <w:r>
        <w:rPr>
          <w:b/>
          <w:sz w:val="17"/>
        </w:rPr>
        <w:t>표 S4. Sukprasert 알고리즘을 본 연구 데이터에 적용한 결과</w:t>
      </w:r>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center"/>
      </w:pPr>
      <w:r>
        <w:rPr>
          <w:b/>
          <w:sz w:val="17"/>
        </w:rPr>
        <w:t>표 S6. Caspian 정식화를 본 연구 데이터에 대응시킨 내역</w:t>
      </w:r>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center"/>
      </w:pPr>
      <w:r>
        <w:rPr>
          <w:b/>
          <w:sz w:val="17"/>
        </w:rPr>
        <w:t>표 S7. 슬롯 올림이 만드는 점유 부풀림 — k=3 이하가 전체의 60.1%다</w:t>
      </w:r>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center"/>
      </w:pPr>
      <w:r>
        <w:rPr>
          <w:b/>
          <w:sz w:val="17"/>
        </w:rPr>
        <w:t>표 S8. 올림과 분수 점유의 비교 — 60일 부분집합, 24,000건, ω1=1</w:t>
      </w:r>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5에 실은 값</w:t>
      </w:r>
    </w:p>
    <w:p>
      <w:pPr>
        <w:autoSpaceDE w:val="0"/>
        <w:autoSpaceDN w:val="0"/>
        <w:jc w:val="both"/>
      </w:pPr>
      <w:r>
        <w:rPr>
          <w:i/>
          <w:sz w:val="20"/>
        </w:rPr>
        <w:t>【전체 스케일 실행 진행 중】</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center"/>
      </w:pPr>
      <w:r>
        <w:rPr>
          <w:b/>
          <w:sz w:val="17"/>
        </w:rPr>
        <w:t>표 S5. 선행 연구와 본 연구의 평가 방식·규모</w:t>
      </w:r>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jc w:val="center"/>
      </w:pPr>
      <w:r>
        <w:rPr>
          <w:b/>
          <w:sz w:val="17"/>
        </w:rPr>
        <w:t>표 S1. 재현에 쓰이는 파일</w:t>
      </w:r>
    </w:p>
    <w:p>
      <w:pPr>
        <w:autoSpaceDE w:val="0"/>
        <w:autoSpaceDN w:val="0"/>
        <w:pStyle w:val="Heading2"/>
      </w:pPr>
      <w:r>
        <w:rPr>
          <w:rFonts w:ascii="맑은 고딕" w:hAnsi="맑은 고딕"/>
        </w:rPr>
        <w:t>실행</w:t>
      </w:r>
    </w:p>
    <w:p>
      <w:pPr>
        <w:autoSpaceDE w:val="0"/>
        <w:autoSpaceDN w:val="0"/>
        <w:spacing w:after="80"/>
        <w:ind w:left="340"/>
      </w:pPr>
      <w:r>
        <w:rPr>
          <w:rFonts w:ascii="Menlo" w:hAnsi="Menlo"/>
          <w:sz w:val="17"/>
        </w:rPr>
        <w:t>python -m scheduler.reproduce           # 본편 표 1·2 재생성</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scheduler.prior_cics --sweep  # A.3 가중치 스윕</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3.12 이상, PuLP와 CBC 솔버, NumPy. 2025년 8개 리전 실측 탄소집약도 계열과 작업 146,000건의 명세가 저장소에 포함된다. 전체 재현에 보통 컴퓨터로 수십 분이 걸리며, A.5의 가중치 스윕은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구현은 ⌊τ_j⌋ 부터 ⌈d_j⌉ 개 슬롯의 실측값을 산술평균한 뒤 실행 시간을 곱한다 (scheduler/timeshift.py 의 mean_carbon, scheduler/capacity.py 의 _Windows.actual_mean —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bl>
    <w:p/>
    <w:p>
      <w:pPr>
        <w:autoSpaceDE w:val="0"/>
        <w:autoSpaceDN w:val="0"/>
        <w:jc w:val="both"/>
      </w:pPr>
      <w:r>
        <w:rPr>
          <w:i w:val="0"/>
          <w:sz w:val="20"/>
        </w:rPr>
        <w:t>네 정책 모두 0.3% 안이며 순위도 바뀌지 않는다(Caspian 은 전규모 재현이 끝나는 대로 같은 방식으로 더한다). 차이의 크기가 갈리는 방향은 해석할 수 있다. 가장 작은 쪽(−0.025%)은 Sukprasert 의 공간+시간 결합으로, 거의 모든 작업을 프랑스 한 곳에 모으는 정책이다 — 한 리전 안에 머무르면 시간대 경계를 가로지르는 횟수가 줄어 슬롯 근사가 어긋날 여지도 줄어든다. 가장 큰 쪽(+0.292%)은 CICS 로, 리전을 고정한 채 하루 안에서 시각만 옮기므로 정반대로 경계를 자주 가로지른다.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