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rPr>
          <w:cantSplit/>
        </w:trPr>
        <w:tc>
          <w:tcPr>
            <w:tcW w:type="dxa" w:w="3173"/>
          </w:tcPr>
          <w:p>
            <w:r/>
            <w:r>
              <w:rPr>
                <w:b w:val="0"/>
                <w:sz w:val="17"/>
              </w:rPr>
              <w:t>A.10</w:t>
            </w:r>
          </w:p>
        </w:tc>
        <w:tc>
          <w:tcPr>
            <w:tcW w:type="dxa" w:w="3173"/>
          </w:tcPr>
          <w:p>
            <w:r/>
            <w:r>
              <w:rPr>
                <w:b w:val="0"/>
                <w:sz w:val="17"/>
              </w:rPr>
              <w:t>CAST 의 정식화와 알고리즘</w:t>
            </w:r>
          </w:p>
        </w:tc>
        <w:tc>
          <w:tcPr>
            <w:tcW w:type="dxa" w:w="3173"/>
          </w:tcPr>
          <w:p>
            <w:r/>
            <w:r>
              <w:rPr>
                <w:b w:val="0"/>
                <w:sz w:val="17"/>
              </w:rPr>
              <w:t>3.2절 · 3.3절 · 3.4절 · 3.5절</w:t>
            </w:r>
          </w:p>
        </w:tc>
      </w:tr>
    </w:tbl>
    <w:p/>
    <w:p>
      <w:pPr>
        <w:jc w:val="both"/>
      </w:pPr>
      <w:r>
        <w:rPr>
          <w:i/>
          <w:sz w:val="20"/>
        </w:rPr>
        <w:t>표 번호는 본편과 구분하기 위해 S를 붙인다(표 S1 … 표 S20).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A.10.6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A.10.6 의 표 S18 이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rPr>
          <w:cantSplit/>
        </w:trP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S7.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S8.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(A.2)</w:t>
            </w:r>
          </w:p>
        </w:tc>
      </w:tr>
      <w:tr>
        <w:trPr>
          <w:cantSplit/>
        </w:trPr>
        <w:tc>
          <w:tcPr>
            <w:tcW w:type="dxa" w:w="4759"/>
          </w:tcPr>
          <w:p>
            <w:r/>
            <w:r>
              <w:rPr>
                <w:b w:val="0"/>
                <w:sz w:val="17"/>
              </w:rPr>
              <w:t>scheduler/prior_cics.py</w:t>
            </w:r>
          </w:p>
        </w:tc>
        <w:tc>
          <w:tcPr>
            <w:tcW w:type="dxa" w:w="4759"/>
          </w:tcPr>
          <w:p>
            <w:r/>
            <w:r>
              <w:rPr>
                <w:b w:val="0"/>
                <w:sz w:val="17"/>
              </w:rPr>
              <w:t>CICS VCC (A.3)</w:t>
            </w:r>
          </w:p>
        </w:tc>
      </w:tr>
      <w:tr>
        <w:trPr>
          <w:cantSplit/>
        </w:trPr>
        <w:tc>
          <w:tcPr>
            <w:tcW w:type="dxa" w:w="4759"/>
          </w:tcPr>
          <w:p>
            <w:r/>
            <w:r>
              <w:rPr>
                <w:b w:val="0"/>
                <w:sz w:val="17"/>
              </w:rPr>
              <w:t>scheduler/prior_sukprasert.py</w:t>
            </w:r>
          </w:p>
        </w:tc>
        <w:tc>
          <w:tcPr>
            <w:tcW w:type="dxa" w:w="4759"/>
          </w:tcPr>
          <w:p>
            <w:r/>
            <w:r>
              <w:rPr>
                <w:b w:val="0"/>
                <w:sz w:val="17"/>
              </w:rPr>
              <w:t>Sukprasert 탐색 (A.4)</w:t>
            </w:r>
          </w:p>
        </w:tc>
      </w:tr>
      <w:tr>
        <w:trPr>
          <w:cantSplit/>
        </w:trPr>
        <w:tc>
          <w:tcPr>
            <w:tcW w:type="dxa" w:w="4759"/>
          </w:tcPr>
          <w:p>
            <w:r/>
            <w:r>
              <w:rPr>
                <w:b w:val="0"/>
                <w:sz w:val="17"/>
              </w:rPr>
              <w:t>scheduler/prior_caspian.py</w:t>
            </w:r>
          </w:p>
        </w:tc>
        <w:tc>
          <w:tcPr>
            <w:tcW w:type="dxa" w:w="4759"/>
          </w:tcPr>
          <w:p>
            <w:r/>
            <w:r>
              <w:rPr>
                <w:b w:val="0"/>
                <w:sz w:val="17"/>
              </w:rPr>
              <w:t>Caspian 정수 계획 (A.5)</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CAST 의 정식화와 알고리즘</w:t>
      </w:r>
    </w:p>
    <w:p>
      <w:pPr>
        <w:jc w:val="both"/>
      </w:pPr>
      <w:r>
        <w:rPr>
          <w:i w:val="0"/>
          <w:sz w:val="20"/>
        </w:rPr>
        <w:t>A.2~A.5 가 선행 정책을 원문 정식화째 옮긴 것과 같은 형태로, 본 연구의 알고리즘도 여기에 전부 편다. 본편을 펴 놓지 않아도 이 절만으로 다시 구현할 수 있도록 표기·식·의사코드·파라미터·구현 위치를 한자리에 둔다. 식 번호는 본편과 같으며, 식 (1)~(15)가 빠짐없이 들어 있다.</w:t>
      </w:r>
    </w:p>
    <w:p>
      <w:pPr>
        <w:pStyle w:val="Heading2"/>
      </w:pPr>
      <w:r>
        <w:rPr>
          <w:rFonts w:ascii="맑은 고딕" w:hAnsi="맑은 고딕"/>
        </w:rPr>
        <w:t>A.10.1  표기</w:t>
      </w:r>
    </w:p>
    <w:p>
      <w:pPr>
        <w:spacing w:before="120" w:after="40"/>
        <w:jc w:val="center"/>
      </w:pPr>
      <w:r>
        <w:rPr>
          <w:b/>
          <w:sz w:val="17"/>
        </w:rPr>
        <w:t>표 S12.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rPr>
          <w:cantSplit/>
        </w:trP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rPr>
          <w:cantSplit/>
        </w:trP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rPr>
          <w:cantSplit/>
        </w:trP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rPr>
          <w:cantSplit/>
        </w:trP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rPr>
          <w:cantSplit/>
        </w:trP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 탄소집약도 (모자 = 예측)</w:t>
            </w:r>
          </w:p>
        </w:tc>
        <w:tc>
          <w:tcPr>
            <w:tcW w:type="dxa" w:w="3173"/>
          </w:tcPr>
          <w:p>
            <w:r/>
            <w:r>
              <w:rPr>
                <w:b w:val="0"/>
                <w:sz w:val="17"/>
              </w:rPr>
              <w:t>매 슬롯 새로 발행</w:t>
            </w:r>
          </w:p>
        </w:tc>
      </w:tr>
      <w:tr>
        <w:trPr>
          <w:cantSplit/>
        </w:trPr>
        <w:tc>
          <w:tcPr>
            <w:tcW w:type="dxa" w:w="3173"/>
          </w:tcPr>
          <w:p>
            <w:r/>
            <w:r>
              <w:rPr>
                <w:b w:val="0"/>
                <w:sz w:val="17"/>
              </w:rPr>
              <w:t>C̃_r</w:t>
            </w:r>
          </w:p>
        </w:tc>
        <w:tc>
          <w:tcPr>
            <w:tcW w:type="dxa" w:w="3173"/>
          </w:tcPr>
          <w:p>
            <w:r/>
            <w:r>
              <w:rPr>
                <w:b w:val="0"/>
                <w:sz w:val="17"/>
              </w:rPr>
              <w:t>공간 이동에서 쓰는 정규화 (물결)</w:t>
            </w:r>
          </w:p>
        </w:tc>
        <w:tc>
          <w:tcPr>
            <w:tcW w:type="dxa" w:w="3173"/>
          </w:tcPr>
          <w:p>
            <w:r/>
            <w:r>
              <w:rPr>
                <w:b w:val="0"/>
                <w:sz w:val="17"/>
              </w:rPr>
              <w:t>Ĉ_r / max_r' Ĉ_r', 식 (6)</w:t>
            </w:r>
          </w:p>
        </w:tc>
      </w:tr>
      <w:tr>
        <w:trPr>
          <w:cantSplit/>
        </w:trPr>
        <w:tc>
          <w:tcPr>
            <w:tcW w:type="dxa" w:w="3173"/>
          </w:tcPr>
          <w:p>
            <w:r/>
            <w:r>
              <w:rPr>
                <w:b w:val="0"/>
                <w:sz w:val="17"/>
              </w:rPr>
              <w:t>Ĉ(t)</w:t>
            </w:r>
          </w:p>
        </w:tc>
        <w:tc>
          <w:tcPr>
            <w:tcW w:type="dxa" w:w="3173"/>
          </w:tcPr>
          <w:p>
            <w:r/>
            <w:r>
              <w:rPr>
                <w:b w:val="0"/>
                <w:sz w:val="17"/>
              </w:rPr>
              <w:t>실행 구간 동안의 예측 평균 (모자 = 예측)</w:t>
            </w:r>
          </w:p>
        </w:tc>
        <w:tc>
          <w:tcPr>
            <w:tcW w:type="dxa" w:w="3173"/>
          </w:tcPr>
          <w:p>
            <w:r/>
            <w:r>
              <w:rPr>
                <w:b w:val="0"/>
                <w:sz w:val="17"/>
              </w:rPr>
              <w:t>식 (10)의 분자</w:t>
            </w:r>
          </w:p>
        </w:tc>
      </w:tr>
      <w:tr>
        <w:trPr>
          <w:cantSplit/>
        </w:trPr>
        <w:tc>
          <w:tcPr>
            <w:tcW w:type="dxa" w:w="3173"/>
          </w:tcPr>
          <w:p>
            <w:r/>
            <w:r>
              <w:rPr>
                <w:b w:val="0"/>
                <w:sz w:val="17"/>
              </w:rPr>
              <w:t>C̄(t)</w:t>
            </w:r>
          </w:p>
        </w:tc>
        <w:tc>
          <w:tcPr>
            <w:tcW w:type="dxa" w:w="3173"/>
          </w:tcPr>
          <w:p>
            <w:r/>
            <w:r>
              <w:rPr>
                <w:b w:val="0"/>
                <w:sz w:val="17"/>
              </w:rPr>
              <w:t>시간 이동에서 쓰는 정규화 (윗줄)</w:t>
            </w:r>
          </w:p>
        </w:tc>
        <w:tc>
          <w:tcPr>
            <w:tcW w:type="dxa" w:w="3173"/>
          </w:tcPr>
          <w:p>
            <w:r/>
            <w:r>
              <w:rPr>
                <w:b w:val="0"/>
                <w:sz w:val="17"/>
              </w:rPr>
              <w:t>Ĉ(t)를 후보 집합 안에서 0–1, 식 (10)</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rPr>
          <w:cantSplit/>
        </w:trP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rPr>
          <w:cantSplit/>
        </w:trP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 에 붙는 세 가지 표식은 뜻이 다르다. 모자는 예측값, 물결은 공간 이동 단계에서 그 슬롯의 리전별 최댓값으로 나눈 값, 윗줄은 시간 이동 단계에서 후보 슬롯 집합 안에서 0–1 로 옮긴 값이다. 정규화가 두 가지인 것은 단계마다 비교 대상이 다르기 때문이다 — 공간 이동은 같은 시각의 여러 리전을, 시간 이동은 같은 리전의 여러 시각을 견준다.</w:t>
      </w:r>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A.6 의 스윕이 다룬다.</w:t>
      </w:r>
    </w:p>
    <w:p>
      <w:pPr>
        <w:pStyle w:val="Heading2"/>
      </w:pPr>
      <w:r>
        <w:rPr>
          <w:rFonts w:ascii="맑은 고딕" w:hAnsi="맑은 고딕"/>
        </w:rPr>
        <w:t>A.10.2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A.10.5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A.10.3 과 A.10.5 다. 두 단계로 쪼갠 결과가 원 문제의 최적해라는 보장은 없으며, 본 연구는 그 주장을 하지 않는다.</w:t>
      </w:r>
    </w:p>
    <w:p>
      <w:pPr>
        <w:pStyle w:val="Heading2"/>
      </w:pPr>
      <w:r>
        <w:rPr>
          <w:rFonts w:ascii="맑은 고딕" w:hAnsi="맑은 고딕"/>
        </w:rPr>
        <w:t>A.10.3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S13.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S14.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rPr>
          <w:cantSplit/>
        </w:trP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rPr>
          <w:cantSplit/>
        </w:trP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A.10.4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(Ĉ(t) − C_min)/(C_max − C_min),   D̄(t) = (t − t_early)/(t_late − t_early)</w:t>
      </w:r>
    </w:p>
    <w:p>
      <w:pPr>
        <w:spacing w:after="80"/>
        <w:ind w:left="340"/>
      </w:pPr>
      <w:r>
        <w:rPr>
          <w:rFonts w:ascii="Menlo" w:hAnsi="Menlo"/>
          <w:sz w:val="17"/>
        </w:rPr>
        <w:t>(11)  score(t) = α(k)·C̄(t) + (1−α(k))·D̄(t),   α(k) = (6 − k)/5</w:t>
      </w:r>
    </w:p>
    <w:p>
      <w:pPr>
        <w:jc w:val="both"/>
      </w:pPr>
      <w:r>
        <w:rPr>
          <w:i w:val="0"/>
          <w:sz w:val="20"/>
        </w:rPr>
        <w:t>Ĉ(t) 는 t 부터 실행 시간 동안의 예측 탄소집약도 평균이고, C̄(t) 는 그것을 후보 집합 안에서 0–1 로 정규화한 값이다.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A.10.5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{j}</w:t>
      </w:r>
    </w:p>
    <w:p>
      <w:pPr>
        <w:spacing w:after="80"/>
        <w:ind w:left="340"/>
      </w:pPr>
      <w:r>
        <w:rPr>
          <w:rFonts w:ascii="Menlo" w:hAnsi="Menlo"/>
          <w:sz w:val="17"/>
        </w:rPr>
        <w:t>14:     sort P by u_j(t) ascending</w:t>
      </w:r>
    </w:p>
    <w:p>
      <w:pPr>
        <w:spacing w:after="80"/>
        <w:ind w:left="340"/>
      </w:pPr>
      <w:r>
        <w:rPr>
          <w:rFonts w:ascii="Menlo" w:hAnsi="Menlo"/>
          <w:sz w:val="17"/>
        </w:rPr>
        <w:t>15:     S ← F ∪ P[1 … max(a_r(t) − |F|, 0)]</w:t>
      </w:r>
    </w:p>
    <w:p>
      <w:pPr>
        <w:spacing w:after="80"/>
        <w:ind w:left="340"/>
      </w:pPr>
      <w:r>
        <w:rPr>
          <w:rFonts w:ascii="Menlo" w:hAnsi="Menlo"/>
          <w:sz w:val="17"/>
        </w:rPr>
        <w:t>16:     for each j ∈ S do</w:t>
      </w:r>
    </w:p>
    <w:p>
      <w:pPr>
        <w:spacing w:after="80"/>
        <w:ind w:left="340"/>
      </w:pPr>
      <w:r>
        <w:rPr>
          <w:rFonts w:ascii="Menlo" w:hAnsi="Menlo"/>
          <w:sz w:val="17"/>
        </w:rPr>
        <w:t>17:       τ_j ← max(t, s_j); Q ← Q ∖ {j}</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S15.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rPr>
          <w:cantSplit/>
        </w:trP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상한은 max(D_j)에서 정해져 8,788</w:t>
            </w:r>
          </w:p>
        </w:tc>
      </w:tr>
      <w:tr>
        <w:trPr>
          <w:cantSplit/>
        </w:trP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rPr>
          <w:cantSplit/>
        </w:trP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rPr>
          <w:cantSplit/>
        </w:trP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rPr>
          <w:cantSplit/>
        </w:trP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rPr>
          <w:cantSplit/>
        </w:trP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rPr>
          <w:cantSplit/>
        </w:trP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rPr>
          <w:cantSplit/>
        </w:trP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rPr>
          <w:cantSplit/>
        </w:trP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A.6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S16.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S17.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사실상 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A.10.6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S18.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rPr>
          <w:cantSplit/>
        </w:trP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rPr>
          <w:cantSplit/>
        </w:trP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rPr>
          <w:cantSplit/>
        </w:trP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S19.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rPr>
          <w:cantSplit/>
        </w:trP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rPr>
          <w:cantSplit/>
        </w:trP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rPr>
          <w:cantSplit/>
        </w:trP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rPr>
          <w:cantSplit/>
        </w:trP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rPr>
          <w:cantSplit/>
        </w:trP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A.10.7  재현에 필요한 파라미터</w:t>
      </w:r>
    </w:p>
    <w:p>
      <w:pPr>
        <w:jc w:val="both"/>
      </w:pPr>
      <w:r>
        <w:rPr>
          <w:i w:val="0"/>
          <w:sz w:val="20"/>
        </w:rPr>
        <w:t>표 S12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S20. 식에 안 나오는 재현 파라미터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rPr>
          <w:cantSplit/>
        </w:trP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rPr>
          <w:cantSplit/>
        </w:trP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rPr>
          <w:cantSplit/>
        </w:trP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rPr>
          <w:cantSplit/>
        </w:trP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rPr>
          <w:cantSplit/>
        </w:trP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rPr>
          <w:cantSplit/>
        </w:trP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rPr>
          <w:cantSplit/>
        </w:trP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rPr>
          <w:cantSplit/>
        </w:trP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rPr>
          <w:cantSplit/>
        </w:trP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rPr>
          <w:cantSplit/>
        </w:trP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rPr>
          <w:cantSplit/>
        </w:trP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A.6 이다 — 무엇이 분포에 견디고 무엇이 견디지 못하는지를 그 절에서 나눈다.</w:t>
      </w:r>
    </w:p>
    <w:p>
      <w:pPr>
        <w:pStyle w:val="Heading2"/>
      </w:pPr>
      <w:r>
        <w:rPr>
          <w:rFonts w:ascii="맑은 고딕" w:hAnsi="맑은 고딕"/>
        </w:rPr>
        <w:t>A.10.8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A.10.9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