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keepLines/>
        <w:autoSpaceDE w:val="0"/>
        <w:autoSpaceDN w:val="0"/>
        <w:ind w:firstLine="0"/>
        <w:jc w:val="left"/>
        <w:rPr>
          <w:sz w:val="18"/>
        </w:rPr>
      </w:pPr>
      <w:r>
        <w:rPr>
          <w:sz w:val="18"/>
        </w:rPr>
        <w:t xml:space="preserve">그림 3. 리전별 탄소집약도 예측 — 캘리포니아의 한 구간이다. 발행 시각 왼쪽이 입력 168시간, 오른쪽이 출력 24시간이며 평균 절대 오차는 12.2 gCO₂/kWh다.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szCs w:val="18"/>
        </w:rPr>
        <w:t xml:space="preserve">그림 4. 공간 이동이 맞바꾸는 두 축 — 한 슬롯의 여덟 리전이다(한국 출발). 134 ms를 쓰면 탄소가 337 줄지만 거기서 104 ms를 더 써도 5밖에 줄지 않는다. 무릎점은 이 꺾이는 자리다.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rPr>
        <w:t xml:space="preserve">그림 5. 공간 이동이 만든 리전 간 흐름 — 1년치 146,000건의 실제 배정이다. 위가 출발, 아래가 도착이고 선 굵기가 옮긴 작업 수다. 프랑스와 캘리포니아가 62.3%를 받는다.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keepLines/>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keepLines/>
        <w:autoSpaceDE w:val="0"/>
        <w:autoSpaceDN w:val="0"/>
        <w:ind w:firstLine="0"/>
        <w:jc w:val="left"/>
        <w:rPr>
          <w:sz w:val="18"/>
          <w:szCs w:val="18"/>
        </w:rPr>
      </w:pPr>
      <w:r>
        <w:rPr>
          <w:sz w:val="18"/>
          <w:szCs w:val="18"/>
        </w:rPr>
        <w:t xml:space="preserve">그림 7. 용량이 시간 이동을 막는 방식 — 캘리포니아의 한 날이다. 탄소가 낮아지는 저녁 시간대가 그대로 유효 상한에 닿아, 옮기고 싶은 자리가 이미 차 있다.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spacing w:line="269" w:lineRule="auto"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pBdr>
          <w:top w:val="single" w:sz="8" w:space="4" w:color="000000"/>
          <w:bottom w:val="single" w:sz="8" w:space="4" w:color="000000"/>
        </w:pBdr>
        <w:spacing w:line="269" w:lineRule="auto" w:before="80" w:after="80"/>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 xml:space="preserve">워크로드는 총 146,000건이며 리전당 하루 50건이 제출된다. 도착률과 지연 등급별 분포(3:2:1:1:3)는 실측 트레이스를 확보하지 못해 설정한 합성 파라미터다. 지연 등급 k∈{1,…,5}는 지연 예산으로 사상된다 — k=1은 12~24시간, k=2는 2~8시간, k=3은 2~10분, k=4는 15~60초, k=5는 1~5초이며 등급 안에서는 로그균등 분포로 뽑는다.</w:t>
      </w:r>
    </w:p>
    <w:p w14:paraId="1D665DD2" w14:textId="77777777" w:rsidR="00CA0C2E" w:rsidRDefault="00000000" w:rsidP="00724B75">
      <w:pPr>
        <w:autoSpaceDE w:val="0"/>
        <w:autoSpaceDN w:val="0"/>
      </w:pPr>
      <w:r>
        <w:t xml:space="preserve">슬롯 길이는 1시간이지만 온라인 시간 이동은 슬롯 경계가 아니라 제출 시각을 기준으로 굴러가므로, 지연 예산이 1시간보다 짧은 k=3, 4, 5도 대상에서 빠지지 않는다. 실제로 이 세 등급에서 544건이 지연되었고 마감을 넘긴 작업은 없었다.</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 xml:space="preserve">세 단계를 동일한 회계로 비교하였다. 홈 리전 즉시 실행이 기준이고, 여기에 탄소 인지 공간 이동을, 다시 시간 이동을 더한다. 모든 단계에서 배치는 예측값으로 결정하고 배출량은 실측값으로 산정하였다.</w:t>
      </w:r>
    </w:p>
    <w:p w14:paraId="6D6BF2D6" w14:textId="77777777" w:rsidR="004A6DA0" w:rsidRDefault="00000000">
      <w:pPr>
        <w:keepLines/>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keepLines/>
        <w:autoSpaceDE w:val="0"/>
        <w:autoSpaceDN w:val="0"/>
        <w:keepNext/>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Lines/>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keepLines/>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keepLines/>
        <w:autoSpaceDE w:val="0"/>
        <w:autoSpaceDN w:val="0"/>
        <w:ind w:firstLine="0"/>
        <w:jc w:val="left"/>
        <w:rPr>
          <w:sz w:val="18"/>
          <w:szCs w:val="18"/>
        </w:rPr>
      </w:pPr>
      <w:r>
        <w:rPr>
          <w:sz w:val="18"/>
          <w:szCs w:val="18"/>
        </w:rPr>
        <w:t xml:space="preserve">그림 9. 시간 이동 전후 캘리포니아의 동시 실행 수 — 용량을 무시하면 상한의 3.4배인 41건까지 몰리고, 온라인 용량 인지로 17건까지 억제된다. 남는 초과는 마감이 임박한 작업이다.</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 xml:space="preserve">절감률만 보면 CASPER(95.28%)와 Sukprasert의 완전예지 정책(96.61%)이 본 연구(63.03%)를 앞선다. 다만 절감률이 커지는 순서는 용량 상한 위반이 커지는 순서와 정확히 겹친다. CASPER의 지연·용량 제약은 본 연구의 워크로드 규모에서 한 번도 활성화되지 않는다 — 리전 간 최대 지연 244 ms가 상한 500 ms보다 작고, 시간당 최대 수요 38건이 리전 하나의 수용량 1,000건에 크게 못 미친다. 그래서 매 시간 전체 요청이 그 순간 가장 깨끗한 리전 하나로 몰리며, 평균 네트워크 지연은 120.4 ms로 본 연구 무릎점의 3.3배가 된다. Sukprasert의 상한은 미래를 완전히 아는 오프라인 오라클을 전제하므로 온라인 시스템으로는 얻을 수 없는 값이다.</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660" w:type="dxa"/>
          </w:tcPr>
          <w:p w14:paraId="19BAB165" w14:textId="77777777" w:rsidR="009C4F3C" w:rsidRDefault="00000000">
            <w:pPr>
              <w:autoSpaceDE w:val="0"/>
              <w:autoSpaceDN w:val="0"/>
            </w:pPr>
            <w:r>
              <w:rPr>
                <w:b/>
                <w:sz w:val="14"/>
              </w:rPr>
              <w:t>정책</w:t>
            </w:r>
          </w:p>
        </w:tc>
        <w:tc>
          <w:tcPr>
            <w:tcBorders>
              <w:bottom w:val="single" w:sz="6" w:space="0" w:color="000000"/>
            </w:tcBorders>
            <w:tcW w:w="960" w:type="dxa"/>
          </w:tcPr>
          <w:p w14:paraId="2A342CD6" w14:textId="77777777" w:rsidR="009C4F3C" w:rsidRDefault="00000000">
            <w:pPr>
              <w:autoSpaceDE w:val="0"/>
              <w:autoSpaceDN w:val="0"/>
              <w:jc w:val="right"/>
            </w:pPr>
            <w:r>
              <w:rPr>
                <w:b/>
                <w:sz w:val="14"/>
              </w:rPr>
              <w:t>총배출</w:t>
            </w:r>
            <w:r>
              <w:rPr>
                <w:b/>
                <w:sz w:val="14"/>
              </w:rPr>
            </w:r>
          </w:p>
        </w:tc>
        <w:tc>
          <w:tcPr>
            <w:tcBorders>
              <w:bottom w:val="single" w:sz="6" w:space="0" w:color="000000"/>
            </w:tcBorders>
            <w:tcW w:w="85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830" w:type="dxa"/>
          </w:tcPr>
          <w:p w14:paraId="1C4B4489" w14:textId="77777777" w:rsidR="009C4F3C" w:rsidRDefault="00000000">
            <w:pPr>
              <w:autoSpaceDE w:val="0"/>
              <w:autoSpaceDN w:val="0"/>
              <w:jc w:val="right"/>
            </w:pPr>
            <w:r>
              <w:rPr>
                <w:b/>
                <w:sz w:val="14"/>
              </w:rPr>
              <w:t>위반</w:t>
            </w:r>
            <w:r>
              <w:rPr>
                <w:b/>
                <w:sz w:val="14"/>
              </w:rPr>
            </w:r>
            <w:r>
              <w:rPr>
                <w:b/>
                <w:sz w:val="14"/>
              </w:rPr>
            </w:r>
            <w:r>
              <w:rPr>
                <w:b/>
                <w:sz w:val="14"/>
              </w:rPr>
            </w:r>
          </w:p>
        </w:tc>
      </w:tr>
      <w:tr w:rsidR="009C4F3C" w14:paraId="2C43F664" w14:textId="77777777">
        <w:tc>
          <w:tcPr>
            <w:tcW w:w="166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0735CEBF" w14:textId="77777777" w:rsidR="009C4F3C" w:rsidRDefault="00000000">
            <w:pPr>
              <w:autoSpaceDE w:val="0"/>
              <w:autoSpaceDN w:val="0"/>
              <w:jc w:val="right"/>
            </w:pPr>
            <w:r>
              <w:rPr>
                <w:sz w:val="14"/>
              </w:rPr>
              <w:t>29,225.6</w:t>
            </w:r>
          </w:p>
        </w:tc>
        <w:tc>
          <w:tcPr>
            <w:tcW w:w="850" w:type="dxa"/>
          </w:tcPr>
          <w:p w14:paraId="36493B5F" w14:textId="77777777" w:rsidR="009C4F3C" w:rsidRDefault="00000000">
            <w:pPr>
              <w:autoSpaceDE w:val="0"/>
              <w:autoSpaceDN w:val="0"/>
              <w:jc w:val="right"/>
            </w:pPr>
            <w:r>
              <w:rPr>
                <w:sz w:val="14"/>
              </w:rPr>
              <w:t>—</w:t>
            </w:r>
          </w:p>
        </w:tc>
        <w:tc>
          <w:tcPr>
            <w:tcW w:w="830" w:type="dxa"/>
          </w:tcPr>
          <w:p w14:paraId="32777804" w14:textId="77777777" w:rsidR="009C4F3C" w:rsidRDefault="00000000">
            <w:pPr>
              <w:autoSpaceDE w:val="0"/>
              <w:autoSpaceDN w:val="0"/>
              <w:jc w:val="right"/>
            </w:pPr>
            <w:r>
              <w:rPr>
                <w:sz w:val="14"/>
              </w:rPr>
              <w:t>0</w:t>
            </w:r>
          </w:p>
        </w:tc>
      </w:tr>
      <w:tr w:rsidR="009C4F3C" w14:paraId="212C928B" w14:textId="77777777">
        <w:tc>
          <w:tcPr>
            <w:tcW w:w="166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08CF6245" w14:textId="77777777" w:rsidR="009C4F3C" w:rsidRDefault="00000000">
            <w:pPr>
              <w:autoSpaceDE w:val="0"/>
              <w:autoSpaceDN w:val="0"/>
              <w:jc w:val="right"/>
            </w:pPr>
            <w:r>
              <w:rPr>
                <w:sz w:val="14"/>
              </w:rPr>
              <w:t>25,203.4</w:t>
            </w:r>
          </w:p>
        </w:tc>
        <w:tc>
          <w:tcPr>
            <w:tcW w:w="850" w:type="dxa"/>
          </w:tcPr>
          <w:p w14:paraId="16F9A37F" w14:textId="77777777" w:rsidR="009C4F3C" w:rsidRDefault="00000000">
            <w:pPr>
              <w:autoSpaceDE w:val="0"/>
              <w:autoSpaceDN w:val="0"/>
              <w:jc w:val="right"/>
            </w:pPr>
            <w:r>
              <w:rPr>
                <w:sz w:val="14"/>
              </w:rPr>
              <w:t>13.76%</w:t>
            </w:r>
          </w:p>
        </w:tc>
        <w:tc>
          <w:tcPr>
            <w:tcW w:w="830" w:type="dxa"/>
          </w:tcPr>
          <w:p w14:paraId="0201FBFC" w14:textId="77777777" w:rsidR="009C4F3C" w:rsidRDefault="00000000">
            <w:pPr>
              <w:autoSpaceDE w:val="0"/>
              <w:autoSpaceDN w:val="0"/>
              <w:jc w:val="right"/>
            </w:pPr>
            <w:r>
              <w:rPr>
                <w:sz w:val="14"/>
              </w:rPr>
              <w:t>0</w:t>
            </w:r>
          </w:p>
        </w:tc>
      </w:tr>
      <w:tr w:rsidR="009C4F3C" w14:paraId="285A4B23" w14:textId="77777777">
        <w:tc>
          <w:tcPr>
            <w:tcW w:w="166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556BE104" w14:textId="77777777" w:rsidR="009C4F3C" w:rsidRDefault="00000000">
            <w:pPr>
              <w:autoSpaceDE w:val="0"/>
              <w:autoSpaceDN w:val="0"/>
              <w:jc w:val="right"/>
            </w:pPr>
            <w:r>
              <w:rPr>
                <w:sz w:val="14"/>
              </w:rPr>
              <w:t>23,789.1</w:t>
            </w:r>
          </w:p>
        </w:tc>
        <w:tc>
          <w:tcPr>
            <w:tcW w:w="850" w:type="dxa"/>
          </w:tcPr>
          <w:p w14:paraId="26A42D4C" w14:textId="77777777" w:rsidR="009C4F3C" w:rsidRDefault="00000000">
            <w:pPr>
              <w:autoSpaceDE w:val="0"/>
              <w:autoSpaceDN w:val="0"/>
              <w:jc w:val="right"/>
            </w:pPr>
            <w:r>
              <w:rPr>
                <w:sz w:val="14"/>
              </w:rPr>
              <w:t>18.60%</w:t>
            </w:r>
          </w:p>
        </w:tc>
        <w:tc>
          <w:tcPr>
            <w:tcW w:w="830" w:type="dxa"/>
          </w:tcPr>
          <w:p w14:paraId="036A8418" w14:textId="77777777" w:rsidR="009C4F3C" w:rsidRDefault="00000000">
            <w:pPr>
              <w:autoSpaceDE w:val="0"/>
              <w:autoSpaceDN w:val="0"/>
              <w:jc w:val="right"/>
            </w:pPr>
            <w:r>
              <w:rPr>
                <w:sz w:val="14"/>
              </w:rPr>
              <w:t>24</w:t>
            </w:r>
          </w:p>
        </w:tc>
      </w:tr>
      <w:tr w:rsidR="009C4F3C" w14:paraId="1E5C43A3" w14:textId="77777777">
        <w:tc>
          <w:tcPr>
            <w:tcW w:w="166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698C422B" w14:textId="77777777" w:rsidR="009C4F3C" w:rsidRDefault="00000000">
            <w:pPr>
              <w:autoSpaceDE w:val="0"/>
              <w:autoSpaceDN w:val="0"/>
              <w:jc w:val="right"/>
            </w:pPr>
            <w:r>
              <w:rPr>
                <w:sz w:val="14"/>
              </w:rPr>
              <w:t>12,609.8</w:t>
            </w:r>
          </w:p>
        </w:tc>
        <w:tc>
          <w:tcPr>
            <w:tcW w:w="850" w:type="dxa"/>
          </w:tcPr>
          <w:p w14:paraId="44D34A2E" w14:textId="77777777" w:rsidR="009C4F3C" w:rsidRDefault="00000000">
            <w:pPr>
              <w:autoSpaceDE w:val="0"/>
              <w:autoSpaceDN w:val="0"/>
              <w:jc w:val="right"/>
            </w:pPr>
            <w:r>
              <w:rPr>
                <w:sz w:val="14"/>
              </w:rPr>
              <w:t>56.85%</w:t>
            </w:r>
          </w:p>
        </w:tc>
        <w:tc>
          <w:tcPr>
            <w:tcW w:w="830" w:type="dxa"/>
          </w:tcPr>
          <w:p w14:paraId="78D1A963" w14:textId="77777777" w:rsidR="009C4F3C" w:rsidRDefault="00000000">
            <w:pPr>
              <w:autoSpaceDE w:val="0"/>
              <w:autoSpaceDN w:val="0"/>
              <w:jc w:val="right"/>
            </w:pPr>
            <w:r>
              <w:rPr>
                <w:sz w:val="14"/>
              </w:rPr>
              <w:t>0</w:t>
            </w:r>
          </w:p>
        </w:tc>
      </w:tr>
      <w:tr w:rsidR="009C4F3C" w14:paraId="4B92B81C" w14:textId="77777777">
        <w:tc>
          <w:tcPr>
            <w:tcW w:w="166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6D177E47" w14:textId="77777777" w:rsidR="009C4F3C" w:rsidRDefault="00000000">
            <w:pPr>
              <w:autoSpaceDE w:val="0"/>
              <w:autoSpaceDN w:val="0"/>
              <w:jc w:val="right"/>
            </w:pPr>
            <w:r>
              <w:rPr>
                <w:sz w:val="14"/>
              </w:rPr>
              <w:t>10,805.0</w:t>
            </w:r>
          </w:p>
        </w:tc>
        <w:tc>
          <w:tcPr>
            <w:tcW w:w="850" w:type="dxa"/>
          </w:tcPr>
          <w:p w14:paraId="3954625A" w14:textId="77777777" w:rsidR="009C4F3C" w:rsidRDefault="00000000">
            <w:pPr>
              <w:autoSpaceDE w:val="0"/>
              <w:autoSpaceDN w:val="0"/>
              <w:jc w:val="right"/>
            </w:pPr>
            <w:r>
              <w:rPr>
                <w:sz w:val="14"/>
              </w:rPr>
              <w:t>63.03%</w:t>
            </w:r>
          </w:p>
        </w:tc>
        <w:tc>
          <w:tcPr>
            <w:tcW w:w="830" w:type="dxa"/>
          </w:tcPr>
          <w:p w14:paraId="754DFA92" w14:textId="77777777" w:rsidR="009C4F3C" w:rsidRDefault="00000000">
            <w:pPr>
              <w:autoSpaceDE w:val="0"/>
              <w:autoSpaceDN w:val="0"/>
              <w:jc w:val="right"/>
            </w:pPr>
            <w:r>
              <w:rPr>
                <w:sz w:val="14"/>
              </w:rPr>
              <w:t>227</w:t>
            </w:r>
          </w:p>
        </w:tc>
      </w:tr>
      <w:tr w:rsidR="009C4F3C" w14:paraId="03EB4A32" w14:textId="77777777">
        <w:tc>
          <w:tcPr>
            <w:tcW w:w="166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6B7AF172" w14:textId="77777777" w:rsidR="009C4F3C" w:rsidRDefault="00000000">
            <w:pPr>
              <w:autoSpaceDE w:val="0"/>
              <w:autoSpaceDN w:val="0"/>
              <w:jc w:val="right"/>
            </w:pPr>
            <w:r>
              <w:rPr>
                <w:sz w:val="14"/>
              </w:rPr>
              <w:t>9,958.2</w:t>
            </w:r>
          </w:p>
        </w:tc>
        <w:tc>
          <w:tcPr>
            <w:tcW w:w="850" w:type="dxa"/>
          </w:tcPr>
          <w:p w14:paraId="668D88FD" w14:textId="77777777" w:rsidR="009C4F3C" w:rsidRDefault="00000000">
            <w:pPr>
              <w:autoSpaceDE w:val="0"/>
              <w:autoSpaceDN w:val="0"/>
              <w:jc w:val="right"/>
            </w:pPr>
            <w:r>
              <w:rPr>
                <w:sz w:val="14"/>
              </w:rPr>
              <w:t>65.93%</w:t>
            </w:r>
          </w:p>
        </w:tc>
        <w:tc>
          <w:tcPr>
            <w:tcW w:w="830" w:type="dxa"/>
          </w:tcPr>
          <w:p w14:paraId="5ECD4560" w14:textId="77777777" w:rsidR="009C4F3C" w:rsidRDefault="00000000">
            <w:pPr>
              <w:autoSpaceDE w:val="0"/>
              <w:autoSpaceDN w:val="0"/>
              <w:jc w:val="right"/>
            </w:pPr>
            <w:r>
              <w:rPr>
                <w:sz w:val="14"/>
              </w:rPr>
              <w:t>20,208</w:t>
            </w:r>
          </w:p>
        </w:tc>
      </w:tr>
      <w:tr w:rsidR="009C4F3C" w14:paraId="49E3E2B1" w14:textId="77777777">
        <w:tc>
          <w:tcPr>
            <w:tcW w:w="1660" w:type="dxa"/>
          </w:tcPr>
          <w:p w14:paraId="748A1D3A" w14:textId="77777777" w:rsidR="009C4F3C" w:rsidRDefault="00000000">
            <w:pPr>
              <w:autoSpaceDE w:val="0"/>
              <w:autoSpaceDN w:val="0"/>
            </w:pPr>
            <w:r>
              <w:rPr>
                <w:sz w:val="14"/>
              </w:rPr>
              <w:t xml:space="preserve">Sukprasert </w:t>
            </w:r>
            <w:r>
              <w:rPr>
                <w:sz w:val="14"/>
              </w:rPr>
              <w:t>시간</w:t>
            </w:r>
          </w:p>
        </w:tc>
        <w:tc>
          <w:tcPr>
            <w:tcW w:w="960" w:type="dxa"/>
          </w:tcPr>
          <w:p w14:paraId="71903BB2" w14:textId="77777777" w:rsidR="009C4F3C" w:rsidRDefault="00000000">
            <w:pPr>
              <w:autoSpaceDE w:val="0"/>
              <w:autoSpaceDN w:val="0"/>
              <w:jc w:val="right"/>
            </w:pPr>
            <w:r>
              <w:rPr>
                <w:sz w:val="14"/>
              </w:rPr>
              <w:t>9,583.6</w:t>
            </w:r>
          </w:p>
        </w:tc>
        <w:tc>
          <w:tcPr>
            <w:tcW w:w="850" w:type="dxa"/>
          </w:tcPr>
          <w:p w14:paraId="454EFEA5" w14:textId="77777777" w:rsidR="009C4F3C" w:rsidRDefault="00000000">
            <w:pPr>
              <w:autoSpaceDE w:val="0"/>
              <w:autoSpaceDN w:val="0"/>
              <w:jc w:val="right"/>
            </w:pPr>
            <w:r>
              <w:rPr>
                <w:sz w:val="14"/>
              </w:rPr>
              <w:t>67.21%</w:t>
            </w:r>
          </w:p>
        </w:tc>
        <w:tc>
          <w:tcPr>
            <w:tcW w:w="830" w:type="dxa"/>
          </w:tcPr>
          <w:p w14:paraId="028BD7D6" w14:textId="77777777" w:rsidR="009C4F3C" w:rsidRDefault="00000000">
            <w:pPr>
              <w:autoSpaceDE w:val="0"/>
              <w:autoSpaceDN w:val="0"/>
              <w:jc w:val="right"/>
            </w:pPr>
            <w:r>
              <w:rPr>
                <w:sz w:val="14"/>
              </w:rPr>
              <w:t>49,356</w:t>
            </w:r>
          </w:p>
        </w:tc>
      </w:tr>
      <w:tr w:rsidR="009C4F3C" w14:paraId="05BE7704" w14:textId="77777777">
        <w:tc>
          <w:tcPr>
            <w:tcW w:w="1660" w:type="dxa"/>
          </w:tcPr>
          <w:p w14:paraId="467C71C0" w14:textId="77777777" w:rsidR="009C4F3C" w:rsidRDefault="00000000">
            <w:pPr>
              <w:autoSpaceDE w:val="0"/>
              <w:autoSpaceDN w:val="0"/>
            </w:pPr>
            <w:r>
              <w:rPr>
                <w:sz w:val="14"/>
              </w:rPr>
              <w:t>CASPER CAP</w:t>
            </w:r>
          </w:p>
        </w:tc>
        <w:tc>
          <w:tcPr>
            <w:tcW w:w="960" w:type="dxa"/>
          </w:tcPr>
          <w:p w14:paraId="2F24AE3D" w14:textId="77777777" w:rsidR="009C4F3C" w:rsidRDefault="00000000">
            <w:pPr>
              <w:autoSpaceDE w:val="0"/>
              <w:autoSpaceDN w:val="0"/>
              <w:jc w:val="right"/>
            </w:pPr>
            <w:r>
              <w:rPr>
                <w:sz w:val="14"/>
              </w:rPr>
              <w:t>1,379.1</w:t>
            </w:r>
          </w:p>
        </w:tc>
        <w:tc>
          <w:tcPr>
            <w:tcW w:w="850" w:type="dxa"/>
          </w:tcPr>
          <w:p w14:paraId="2D3D2BAF" w14:textId="77777777" w:rsidR="009C4F3C" w:rsidRDefault="00000000">
            <w:pPr>
              <w:autoSpaceDE w:val="0"/>
              <w:autoSpaceDN w:val="0"/>
              <w:jc w:val="right"/>
            </w:pPr>
            <w:r>
              <w:rPr>
                <w:sz w:val="14"/>
              </w:rPr>
              <w:t>95.28%</w:t>
            </w:r>
          </w:p>
        </w:tc>
        <w:tc>
          <w:tcPr>
            <w:tcW w:w="830" w:type="dxa"/>
          </w:tcPr>
          <w:p w14:paraId="1EC1A408" w14:textId="77777777" w:rsidR="009C4F3C" w:rsidRDefault="00000000">
            <w:pPr>
              <w:autoSpaceDE w:val="0"/>
              <w:autoSpaceDN w:val="0"/>
              <w:jc w:val="right"/>
            </w:pPr>
            <w:r>
              <w:rPr>
                <w:sz w:val="14"/>
              </w:rPr>
              <w:t>69,310</w:t>
            </w:r>
          </w:p>
        </w:tc>
      </w:tr>
      <w:tr w:rsidR="009C4F3C" w14:paraId="673576F0" w14:textId="77777777">
        <w:tc>
          <w:tcPr>
            <w:tcW w:w="166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4F7A60BD" w14:textId="77777777" w:rsidR="009C4F3C" w:rsidRDefault="00000000">
            <w:pPr>
              <w:autoSpaceDE w:val="0"/>
              <w:autoSpaceDN w:val="0"/>
              <w:jc w:val="right"/>
            </w:pPr>
            <w:r>
              <w:rPr>
                <w:sz w:val="14"/>
              </w:rPr>
              <w:t>990.8</w:t>
            </w:r>
          </w:p>
        </w:tc>
        <w:tc>
          <w:tcPr>
            <w:tcW w:w="850" w:type="dxa"/>
          </w:tcPr>
          <w:p w14:paraId="24DE1664" w14:textId="77777777" w:rsidR="009C4F3C" w:rsidRDefault="00000000">
            <w:pPr>
              <w:autoSpaceDE w:val="0"/>
              <w:autoSpaceDN w:val="0"/>
              <w:jc w:val="right"/>
            </w:pPr>
            <w:r>
              <w:rPr>
                <w:sz w:val="14"/>
              </w:rPr>
              <w:t>96.61%</w:t>
            </w:r>
          </w:p>
        </w:tc>
        <w:tc>
          <w:tcPr>
            <w:tcW w:w="83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keepLines/>
        <w:autoSpaceDE w:val="0"/>
        <w:autoSpaceDN w:val="0"/>
        <w:ind w:firstLine="0"/>
        <w:jc w:val="left"/>
        <w:rPr>
          <w:sz w:val="15"/>
        </w:rPr>
      </w:pPr>
      <w:r>
        <w:rPr>
          <w:sz w:val="18"/>
        </w:rPr>
        <w:t xml:space="preserve">표 4. 선행 정책을 원문 수식·공개 코드 그대로 재구현해 같은 회계로 채점한 결과 — 총배출은 kg, 위반은 건이다. 위반은 본 연구의 유효 상한 12건을 모든 정책에 같은 정의로 적용해 센 값이다.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3"/>
                    </a:xfrm>
                    <a:prstGeom prst="rect">
                      <a:avLst/>
                    </a:prstGeom>
                  </pic:spPr>
                </pic:pic>
              </a:graphicData>
            </a:graphic>
          </wp:inline>
        </w:drawing>
      </w:r>
    </w:p>
    <w:p w14:paraId="2829A557" w14:textId="77777777" w:rsidR="00CA0C2E" w:rsidRPr="00083BF7" w:rsidRDefault="00000000" w:rsidP="00724B75">
      <w:pPr>
        <w:keepLines/>
        <w:autoSpaceDE w:val="0"/>
        <w:autoSpaceDN w:val="0"/>
        <w:ind w:firstLine="0"/>
        <w:jc w:val="left"/>
        <w:rPr>
          <w:sz w:val="18"/>
          <w:szCs w:val="18"/>
          <w:lang w:eastAsia="ko-KR"/>
        </w:rPr>
      </w:pPr>
      <w:r>
        <w:rPr>
          <w:sz w:val="18"/>
        </w:rPr>
        <w:t xml:space="preserve">그림 10. 선행 정책 재현 결과 비교 (표 4) — 세로축 탄소 절감률, 가로축 용량 상한 위반이다. ★ 본 연구, ○ 선행 정책. 본 연구를 앞서는 정책은 모두 오른쪽 바깥에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rPr>
          <w:sz w:val="18"/>
        </w:rPr>
        <w:t>이 결과가 실무에 주는 함의는 두 가지다. 첫째, 탄소 인지 스케줄링의 이득을 보고할 때 용량을 함께 보고하지 않으면 그 숫자는 비교할 수 없다. 본 연구가 재현한 선행 정책들은 모두 본 연구보다 낮은 배출을 내지만, 같은 상한으로 다시 세면 수만 건의 초과 배정을 전제한다. 둘째, 시간 이동을 도입할지 판단하려면 리전별 탄소집약도의 평균이 아니라 변동 폭을 봐야 한다. 본 연구에서 물량이 가장 많이 몰린 프랑스는 평탄해서 시간 이동의 이득이 2.3%에 그쳤고, 이득의 대부분은 변동이 큰 캘리포니아에서 나왔다. 평균만 보고 저탄소 리전으로 몰아넣으면 시간 축에서 얻을 것이 남지 않는다.</w:t>
      </w:r>
    </w:p>
    <w:p w14:paraId="29096125" w14:textId="77777777" w:rsidR="00CA0C2E" w:rsidRDefault="00000000" w:rsidP="00724B75">
      <w:pPr>
        <w:autoSpaceDE w:val="0"/>
        <w:autoSpaceDN w:val="0"/>
      </w:pPr>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67E09E15" w14:textId="77777777" w:rsidR="00CA0C2E" w:rsidRDefault="00000000" w:rsidP="00724B75">
      <w:pPr>
        <w:autoSpaceDE w:val="0"/>
        <w:autoSpaceDN w:val="0"/>
      </w:pPr>
      <w:r>
        <w:t xml:space="preserve">향후 과제는 실제 예보 API 연동, 24시간을 넘는 예측 지평, 수요에 비례하는 용량 모델이다.</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