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설계</w:t>
      </w:r>
      <w:r>
        <w:t xml:space="preserve"> </w:t>
      </w:r>
      <w:r>
        <w:t>원칙은</w:t>
      </w:r>
      <w:r>
        <w:t xml:space="preserve"> </w:t>
      </w:r>
      <w:r>
        <w:t>세</w:t>
      </w:r>
      <w:r>
        <w:t xml:space="preserve"> </w:t>
      </w:r>
      <w:r>
        <w:t>가지다</w:t>
      </w:r>
      <w:r>
        <w:t>.</w:t>
      </w:r>
    </w:p>
    <w:p w14:paraId="7EABAC85" w14:textId="77777777" w:rsidR="00CA0C2E" w:rsidRDefault="00000000" w:rsidP="00724B75">
      <w:pPr>
        <w:autoSpaceDE w:val="0"/>
        <w:autoSpaceDN w:val="0"/>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lastRenderedPageBreak/>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1B067550" w14:textId="77777777" w:rsidR="00CA0C2E" w:rsidRDefault="00000000" w:rsidP="00724B75">
      <w:pPr>
        <w:autoSpaceDE w:val="0"/>
        <w:autoSpaceDN w:val="0"/>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1CF2F70" w14:textId="77777777" w:rsidR="00CA0C2E" w:rsidRDefault="00000000" w:rsidP="00724B75">
      <w:pPr>
        <w:autoSpaceDE w:val="0"/>
        <w:autoSpaceDN w:val="0"/>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603500" cy="3123618"/>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603500" cy="3123618"/>
                    </a:xfrm>
                    <a:prstGeom prst="rect">
                      <a:avLst/>
                    </a:prstGeom>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autoSpaceDE w:val="0"/>
        <w:autoSpaceDN w:val="0"/>
        <w:jc w:val="center"/>
      </w:pPr>
      <w:r>
        <w:drawing>
          <wp:inline xmlns:a="http://schemas.openxmlformats.org/drawingml/2006/main" xmlns:pic="http://schemas.openxmlformats.org/drawingml/2006/picture">
            <wp:extent cx="2603500" cy="2786559"/>
            <wp:docPr id="967" name="Picture 967"/>
            <wp:cNvGraphicFramePr>
              <a:graphicFrameLocks noChangeAspect="1"/>
            </wp:cNvGraphicFramePr>
            <a:graphic>
              <a:graphicData uri="http://schemas.openxmlformats.org/drawingml/2006/picture">
                <pic:pic>
                  <pic:nvPicPr>
                    <pic:cNvPr id="0" name="fig2_lstm_arch.png"/>
                    <pic:cNvPicPr/>
                  </pic:nvPicPr>
                  <pic:blipFill>
                    <a:blip r:embed="rId19"/>
                    <a:stretch>
                      <a:fillRect/>
                    </a:stretch>
                  </pic:blipFill>
                  <pic:spPr>
                    <a:xfrm>
                      <a:off x="0" y="0"/>
                      <a:ext cx="2603500" cy="2786559"/>
                    </a:xfrm>
                    <a:prstGeom prst="rect"/>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rPr>
        <w:t>그림 2. 리전별 LSTM 구조 — 과거 168시간의 피처 13개(공통 10개, 기상 3개 리전만 날씨 3개 추가)를 은닉 64의 2층 LSTM에 넣고, 마지막 은닉 상태로 향후 24시간을 낸다. 기상 리전은 미래 24시간 날씨 72개 값을 함께 결합한다.</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autoSpaceDE w:val="0"/>
        <w:autoSpaceDN w:val="0"/>
        <w:ind w:firstLine="0"/>
        <w:jc w:val="left"/>
        <w:rPr>
          <w:sz w:val="18"/>
        </w:rPr>
      </w:pPr>
      <w:r>
        <w:rPr>
          <w:sz w:val="18"/>
        </w:rPr>
        <w:t xml:space="preserve">그림 3. 리전별 탄소집약도 예측 — 지난 168시간을 받아 향후 24시간을 낸다. 캘리포니아의 한 구간이며 평균 절대 오차는 12.2 gCO₂/kWh다. 리전마다 독립된 2층 LSTM(은닉 64)을 쓰고, 배치 결정에는 이 예측값을, 배출량 산정에는 실측값을 쓴다.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szCs w:val="18"/>
        </w:rPr>
        <w:t xml:space="preserve">그림 4. 공간 이동이 맞바꾸는 두 축 — 리전 간 격차가 큰 한 슬롯에서 한국이 출발지일 때 여덟 리전의 위치다. 134 ms를 쓰면 탄소가 337 줄지만, 거기서 104 ms를 더 써도 5밖에 줄지 않는다. 무릎점은 이 꺾이는 자리를 슬롯마다 다시 고른다.</w:t>
      </w:r>
    </w:p>
    <w:p w14:paraId="66120270" w14:textId="0C69ED65" w:rsidR="00CA0C2E" w:rsidRDefault="009077D4" w:rsidP="00724B75">
      <w:pPr>
        <w:autoSpaceDE w:val="0"/>
        <w:autoSpaceDN w:val="0"/>
        <w:ind w:firstLine="0"/>
        <w:jc w:val="left"/>
        <w:rPr>
          <w:sz w:val="18"/>
          <w:szCs w:val="18"/>
        </w:rPr>
      </w:pPr>
      <w:r w:rsidR="00000000">
        <w:rPr>
          <w:sz w:val="18"/>
          <w:szCs w:val="18"/>
        </w:rPr>
        <w:t>홈에</w:t>
      </w:r>
      <w:r w:rsidR="00000000">
        <w:rPr>
          <w:sz w:val="18"/>
          <w:szCs w:val="18"/>
        </w:rPr>
        <w:t xml:space="preserve"> </w:t>
      </w:r>
      <w:r w:rsidR="00000000">
        <w:rPr>
          <w:sz w:val="18"/>
          <w:szCs w:val="18"/>
        </w:rPr>
        <w:t>두면</w:t>
      </w:r>
      <w:r w:rsidR="00000000">
        <w:rPr>
          <w:sz w:val="18"/>
          <w:szCs w:val="18"/>
        </w:rPr>
        <w:t xml:space="preserve"> 351 gCO₂/kWh</w:t>
      </w:r>
      <w:r w:rsidR="00000000">
        <w:rPr>
          <w:sz w:val="18"/>
          <w:szCs w:val="18"/>
        </w:rPr>
        <w:t>이고</w:t>
      </w:r>
      <w:r w:rsidR="00000000">
        <w:rPr>
          <w:sz w:val="18"/>
          <w:szCs w:val="18"/>
        </w:rPr>
        <w:t>, 134 ms</w:t>
      </w:r>
      <w:r w:rsidR="00000000">
        <w:rPr>
          <w:sz w:val="18"/>
          <w:szCs w:val="18"/>
        </w:rPr>
        <w:t>를</w:t>
      </w:r>
      <w:r w:rsidR="00000000">
        <w:rPr>
          <w:sz w:val="18"/>
          <w:szCs w:val="18"/>
        </w:rPr>
        <w:t xml:space="preserve"> </w:t>
      </w:r>
      <w:r w:rsidR="00000000">
        <w:rPr>
          <w:sz w:val="18"/>
          <w:szCs w:val="18"/>
        </w:rPr>
        <w:t>쓰면</w:t>
      </w:r>
      <w:r w:rsidR="00000000">
        <w:rPr>
          <w:sz w:val="18"/>
          <w:szCs w:val="18"/>
        </w:rPr>
        <w:t xml:space="preserve"> 337</w:t>
      </w:r>
      <w:r w:rsidR="00000000">
        <w:rPr>
          <w:sz w:val="18"/>
          <w:szCs w:val="18"/>
        </w:rPr>
        <w:t>이</w:t>
      </w:r>
      <w:r w:rsidR="00000000">
        <w:rPr>
          <w:sz w:val="18"/>
          <w:szCs w:val="18"/>
        </w:rPr>
        <w:t xml:space="preserve"> </w:t>
      </w:r>
      <w:r w:rsidR="00000000">
        <w:rPr>
          <w:sz w:val="18"/>
          <w:szCs w:val="18"/>
        </w:rPr>
        <w:t>줄지만</w:t>
      </w:r>
      <w:r w:rsidR="00000000">
        <w:rPr>
          <w:sz w:val="18"/>
          <w:szCs w:val="18"/>
        </w:rPr>
        <w:t xml:space="preserve">, </w:t>
      </w:r>
      <w:r w:rsidR="00000000">
        <w:rPr>
          <w:sz w:val="18"/>
          <w:szCs w:val="18"/>
        </w:rPr>
        <w:t>거기서</w:t>
      </w:r>
      <w:r w:rsidR="00000000">
        <w:rPr>
          <w:sz w:val="18"/>
          <w:szCs w:val="18"/>
        </w:rPr>
        <w:t xml:space="preserve"> 104 ms</w:t>
      </w:r>
      <w:r w:rsidR="00000000">
        <w:rPr>
          <w:sz w:val="18"/>
          <w:szCs w:val="18"/>
        </w:rPr>
        <w:t>를</w:t>
      </w:r>
      <w:r w:rsidR="00000000">
        <w:rPr>
          <w:sz w:val="18"/>
          <w:szCs w:val="18"/>
        </w:rPr>
        <w:t xml:space="preserve"> </w:t>
      </w:r>
      <w:r w:rsidR="00000000">
        <w:rPr>
          <w:sz w:val="18"/>
          <w:szCs w:val="18"/>
        </w:rPr>
        <w:t>더</w:t>
      </w:r>
      <w:r w:rsidR="00000000">
        <w:rPr>
          <w:sz w:val="18"/>
          <w:szCs w:val="18"/>
        </w:rPr>
        <w:t xml:space="preserve"> </w:t>
      </w:r>
      <w:r w:rsidR="00000000">
        <w:rPr>
          <w:sz w:val="18"/>
          <w:szCs w:val="18"/>
        </w:rPr>
        <w:t>써도</w:t>
      </w:r>
      <w:r w:rsidR="00000000">
        <w:rPr>
          <w:sz w:val="18"/>
          <w:szCs w:val="18"/>
        </w:rPr>
        <w:t xml:space="preserve"> 5</w:t>
      </w:r>
      <w:r w:rsidR="00000000">
        <w:rPr>
          <w:sz w:val="18"/>
          <w:szCs w:val="18"/>
        </w:rPr>
        <w:t>밖에</w:t>
      </w:r>
      <w:r w:rsidR="00000000">
        <w:rPr>
          <w:sz w:val="18"/>
          <w:szCs w:val="18"/>
        </w:rPr>
        <w:t xml:space="preserve"> </w:t>
      </w:r>
      <w:r w:rsidR="00000000">
        <w:rPr>
          <w:sz w:val="18"/>
          <w:szCs w:val="18"/>
        </w:rPr>
        <w:t>줄지</w:t>
      </w:r>
      <w:r w:rsidR="00000000">
        <w:rPr>
          <w:sz w:val="18"/>
          <w:szCs w:val="18"/>
        </w:rPr>
        <w:t xml:space="preserve"> </w:t>
      </w:r>
      <w:r w:rsidR="00000000">
        <w:rPr>
          <w:sz w:val="18"/>
          <w:szCs w:val="18"/>
        </w:rPr>
        <w:t>않는다</w:t>
      </w:r>
      <w:r w:rsidR="00000000">
        <w:rPr>
          <w:sz w:val="18"/>
          <w:szCs w:val="18"/>
        </w:rPr>
        <w:t xml:space="preserve">. </w:t>
      </w:r>
      <w:r w:rsidR="00000000">
        <w:rPr>
          <w:sz w:val="18"/>
          <w:szCs w:val="18"/>
        </w:rPr>
        <w:t>무릎점은</w:t>
      </w:r>
      <w:r w:rsidR="00000000">
        <w:rPr>
          <w:sz w:val="18"/>
          <w:szCs w:val="18"/>
        </w:rPr>
        <w:t xml:space="preserve"> </w:t>
      </w:r>
      <w:r w:rsidR="00000000">
        <w:rPr>
          <w:sz w:val="18"/>
          <w:szCs w:val="18"/>
        </w:rPr>
        <w:t>이</w:t>
      </w:r>
      <w:r w:rsidR="00000000">
        <w:rPr>
          <w:sz w:val="18"/>
          <w:szCs w:val="18"/>
        </w:rPr>
        <w:t xml:space="preserve"> </w:t>
      </w:r>
      <w:r w:rsidR="00000000">
        <w:rPr>
          <w:sz w:val="18"/>
          <w:szCs w:val="18"/>
        </w:rPr>
        <w:t>꺾이는</w:t>
      </w:r>
      <w:r w:rsidR="00000000">
        <w:rPr>
          <w:sz w:val="18"/>
          <w:szCs w:val="18"/>
        </w:rPr>
        <w:t xml:space="preserve"> </w:t>
      </w:r>
      <w:r w:rsidR="00000000">
        <w:rPr>
          <w:sz w:val="18"/>
          <w:szCs w:val="18"/>
        </w:rPr>
        <w:t>자리를</w:t>
      </w:r>
      <w:r w:rsidR="00000000">
        <w:rPr>
          <w:sz w:val="18"/>
          <w:szCs w:val="18"/>
        </w:rPr>
        <w:t xml:space="preserve"> </w:t>
      </w:r>
      <w:r w:rsidR="00000000">
        <w:rPr>
          <w:sz w:val="18"/>
          <w:szCs w:val="18"/>
        </w:rPr>
        <w:t>슬롯마다</w:t>
      </w:r>
      <w:r w:rsidR="00000000">
        <w:rPr>
          <w:sz w:val="18"/>
          <w:szCs w:val="18"/>
        </w:rPr>
        <w:t xml:space="preserve"> </w:t>
      </w:r>
      <w:r w:rsidR="00000000">
        <w:rPr>
          <w:sz w:val="18"/>
          <w:szCs w:val="18"/>
        </w:rPr>
        <w:t>다시</w:t>
      </w:r>
      <w:r w:rsidR="00000000">
        <w:rPr>
          <w:sz w:val="18"/>
          <w:szCs w:val="18"/>
        </w:rPr>
        <w:t xml:space="preserve"> </w:t>
      </w:r>
      <w:r w:rsidR="00000000">
        <w:rPr>
          <w:sz w:val="18"/>
          <w:szCs w:val="18"/>
        </w:rPr>
        <w:t>고른다</w:t>
      </w:r>
      <w:r w:rsidR="00000000">
        <w:rPr>
          <w:sz w:val="18"/>
          <w:szCs w:val="18"/>
        </w:rPr>
        <w:t>.</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 xml:space="preserve">가중치가 배정을 어떻게 바꾸는지는 한 슬롯을 열어 보면 분명하다. 그림 4의 슬롯에서 α를 0에서 1까지 옮기면 목적지가 세 구간으로 갈린다 — 0.4 이하에서는 홈(한국, 351 gCO₂/kWh), 0.5에서 0.8 사이에서는 캘리포니아(14, 134 ms), 1.0에서는 프랑스(9, 238 ms)다. 무릎점 0.508은 가운데 구간에 들어, 탄소를 홈 대비 96% 줄이면서 지연은 상한의 55%만 쓴다. 실제 배정은 리전별 잔여 용량 안에서만 이루어지므로 같은 α라도 그 슬롯에 자리가 없으면 다음 후보로 넘어간다.</w:t>
      </w:r>
    </w:p>
    <w:p>
      <w:pPr>
        <w:autoSpaceDE w:val="0"/>
        <w:autoSpaceDN w:val="0"/>
        <w:jc w:val="center"/>
      </w:pPr>
      <w:r>
        <w:drawing>
          <wp:inline xmlns:a="http://schemas.openxmlformats.org/drawingml/2006/main" xmlns:pic="http://schemas.openxmlformats.org/drawingml/2006/picture">
            <wp:extent cx="2603500" cy="1599916"/>
            <wp:docPr id="968" name="Picture 968"/>
            <wp:cNvGraphicFramePr>
              <a:graphicFrameLocks noChangeAspect="1"/>
            </wp:cNvGraphicFramePr>
            <a:graphic>
              <a:graphicData uri="http://schemas.openxmlformats.org/drawingml/2006/picture">
                <pic:pic>
                  <pic:nvPicPr>
                    <pic:cNvPr id="0" name="fig4_routing.png"/>
                    <pic:cNvPicPr/>
                  </pic:nvPicPr>
                  <pic:blipFill>
                    <a:blip r:embed="rId20"/>
                    <a:stretch>
                      <a:fillRect/>
                    </a:stretch>
                  </pic:blipFill>
                  <pic:spPr>
                    <a:xfrm>
                      <a:off x="0" y="0"/>
                      <a:ext cx="2603500" cy="1599916"/>
                    </a:xfrm>
                    <a:prstGeom prst="rect"/>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rPr>
        <w:t xml:space="preserve">그림 5. 공간 이동이 실제로 만든 리전 간 흐름 — 무릎점 자동 선택으로 1년치 146,000건을 배정한 결과다. 위가 출발, 아래가 도착이며 선 굵기가 옮긴 작업 수, 회색 세로선이 홈에 남은 몫이다. 프랑스와 캘리포니아가 62.3%를 받고 인도는 1.9%만 남는다.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autoSpaceDE w:val="0"/>
        <w:autoSpaceDN w:val="0"/>
        <w:ind w:firstLine="0"/>
        <w:jc w:val="left"/>
        <w:rPr>
          <w:sz w:val="18"/>
          <w:szCs w:val="18"/>
        </w:rPr>
      </w:pPr>
      <w:r>
        <w:rPr>
          <w:sz w:val="18"/>
          <w:szCs w:val="18"/>
        </w:rPr>
        <w:t xml:space="preserve">그림 6. 고정 α 스윕과 슬롯별 무릎점(α=auto)의 파레토 곡선 — auto는 탄소가 가장 낮은 지점이 아니라 지연 대비 탄소 한계수익이 정점을 찍는 지점(464.9 kg/ms)이다.</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autoSpaceDE w:val="0"/>
        <w:autoSpaceDN w:val="0"/>
        <w:ind w:firstLine="0"/>
        <w:jc w:val="left"/>
        <w:rPr>
          <w:sz w:val="18"/>
          <w:szCs w:val="18"/>
        </w:rPr>
      </w:pPr>
      <w:r>
        <w:rPr>
          <w:sz w:val="18"/>
          <w:szCs w:val="18"/>
        </w:rPr>
        <w:t xml:space="preserve">그림 7. 용량이 시간 이동을 막는 방식 — 캘리포니아의 한 날 실측이다. 위는 시각별 탄소집약도, 아래는 같은 시각의 동시 실행 수다. 탄소가 낮아지는 저녁 시간대가 그대로 유효 상한에 닿아 있어, 옮기고 싶은 자리가 이미 차 있다. 상한을 넘는 막대는 마감이 임박해 미룰 수 없는 작업이다.</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lastRenderedPageBreak/>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w:t>
      </w:r>
      <w:r>
        <w:t>절</w:t>
      </w:r>
      <w:r>
        <w:t>).</w:t>
      </w:r>
    </w:p>
    <w:p w14:paraId="5C46FAF7"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autoSpaceDE w:val="0"/>
        <w:autoSpaceDN w:val="0"/>
        <w:keepNext/>
      </w:pPr>
      <w:r>
        <w:rPr>
          <w:sz w:val="18"/>
          <w:szCs w:val="18"/>
        </w:rPr>
        <w:t xml:space="preserve">표 1.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1677960"/>
                    </a:xfrm>
                    <a:prstGeom prst="rect">
                      <a:avLst/>
                    </a:prstGeom>
                  </pic:spPr>
                </pic:pic>
              </a:graphicData>
            </a:graphic>
          </wp:inline>
        </w:drawing>
      </w:r>
    </w:p>
    <w:p w14:paraId="5488AACD"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 xml:space="preserve">그림 8. 다섯 방식의 총 배출량 비교 (표 1) — 가로축은 로그 눈금이다. 채운 막대가 본 연구이며, 점선 테두리(③)는 용량 제약을 전혀 두지 않은 반사실이라 달성 가능한 값이 아니다. 세로 점선은 본 연구의 값이다.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autoSpaceDE w:val="0"/>
        <w:autoSpaceDN w:val="0"/>
        <w:keepNext/>
      </w:pPr>
      <w:r>
        <w:rPr>
          <w:sz w:val="18"/>
          <w:szCs w:val="18"/>
        </w:rPr>
        <w:lastRenderedPageBreak/>
        <w:t xml:space="preserve">표 2.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D04792B" w14:textId="77777777" w:rsidR="004D20D1" w:rsidRDefault="00000000">
      <w:pPr>
        <w:autoSpaceDE w:val="0"/>
        <w:autoSpaceDN w:val="0"/>
        <w:keepNext/>
      </w:pPr>
      <w:r>
        <w:rPr>
          <w:sz w:val="18"/>
          <w:szCs w:val="18"/>
        </w:rPr>
        <w:t xml:space="preserve">표 3.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autoSpaceDE w:val="0"/>
        <w:autoSpaceDN w:val="0"/>
        <w:ind w:firstLine="0"/>
        <w:jc w:val="left"/>
        <w:rPr>
          <w:sz w:val="18"/>
          <w:szCs w:val="18"/>
        </w:rPr>
      </w:pPr>
      <w:r>
        <w:rPr>
          <w:sz w:val="18"/>
          <w:szCs w:val="18"/>
        </w:rPr>
        <w:t xml:space="preserve">그림 9. 시간 이동 전후 캘리포니아 리전의 동시 실행 수 — 용량을 무시하면 상한(12건)의 3.4배인 41건까지 몰리고, 온라인 용량 인지(Algorithm 1)로 17건까지 억제된다. 온라인에서도 상한을 넘는 구간이 남는 것은 마감이 임박해 더 미룰 수 없는 작업을 용량과 무관하게 편입하기 때문이다(4.2절).</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850" w:type="dxa"/>
          </w:tcPr>
          <w:p w14:paraId="19BAB165" w14:textId="77777777" w:rsidR="009C4F3C" w:rsidRDefault="00000000">
            <w:pPr>
              <w:autoSpaceDE w:val="0"/>
              <w:autoSpaceDN w:val="0"/>
            </w:pPr>
            <w:r>
              <w:rPr>
                <w:b/>
                <w:sz w:val="14"/>
              </w:rPr>
              <w:t>정책</w:t>
            </w:r>
          </w:p>
        </w:tc>
        <w:tc>
          <w:tcPr>
            <w:tcBorders>
              <w:bottom w:val="single" w:sz="6" w:space="0" w:color="000000"/>
            </w:tcBorders>
            <w:tcW w:w="880" w:type="dxa"/>
          </w:tcPr>
          <w:p w14:paraId="2A342CD6" w14:textId="77777777" w:rsidR="009C4F3C" w:rsidRDefault="00000000">
            <w:pPr>
              <w:autoSpaceDE w:val="0"/>
              <w:autoSpaceDN w:val="0"/>
              <w:jc w:val="right"/>
            </w:pPr>
            <w:r>
              <w:rPr>
                <w:b/>
                <w:sz w:val="14"/>
              </w:rPr>
              <w:t>총배출</w:t>
            </w:r>
            <w:r>
              <w:rPr>
                <w:b/>
                <w:sz w:val="14"/>
              </w:rPr>
              <w:t>(kg)</w:t>
            </w:r>
          </w:p>
        </w:tc>
        <w:tc>
          <w:tcPr>
            <w:tcBorders>
              <w:bottom w:val="single" w:sz="6" w:space="0" w:color="000000"/>
            </w:tcBorders>
            <w:tcW w:w="81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760" w:type="dxa"/>
          </w:tcPr>
          <w:p w14:paraId="1C4B4489" w14:textId="77777777" w:rsidR="009C4F3C" w:rsidRDefault="00000000">
            <w:pPr>
              <w:autoSpaceDE w:val="0"/>
              <w:autoSpaceDN w:val="0"/>
              <w:jc w:val="right"/>
            </w:pPr>
            <w:r>
              <w:rPr>
                <w:b/>
                <w:sz w:val="14"/>
              </w:rPr>
              <w:t>위반</w:t>
            </w:r>
            <w:r>
              <w:rPr>
                <w:b/>
                <w:sz w:val="14"/>
              </w:rPr>
              <w:t>(</w:t>
            </w:r>
            <w:r>
              <w:rPr>
                <w:b/>
                <w:sz w:val="14"/>
              </w:rPr>
              <w:t>건</w:t>
            </w:r>
            <w:r>
              <w:rPr>
                <w:b/>
                <w:sz w:val="14"/>
              </w:rPr>
              <w:t>)</w:t>
            </w:r>
          </w:p>
        </w:tc>
      </w:tr>
      <w:tr w:rsidR="009C4F3C" w14:paraId="2C43F664" w14:textId="77777777">
        <w:tc>
          <w:tcPr>
            <w:tcW w:w="185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880" w:type="dxa"/>
          </w:tcPr>
          <w:p w14:paraId="0735CEBF" w14:textId="77777777" w:rsidR="009C4F3C" w:rsidRDefault="00000000">
            <w:pPr>
              <w:autoSpaceDE w:val="0"/>
              <w:autoSpaceDN w:val="0"/>
              <w:jc w:val="right"/>
            </w:pPr>
            <w:r>
              <w:rPr>
                <w:sz w:val="14"/>
              </w:rPr>
              <w:t>29,225.6</w:t>
            </w:r>
          </w:p>
        </w:tc>
        <w:tc>
          <w:tcPr>
            <w:tcW w:w="810" w:type="dxa"/>
          </w:tcPr>
          <w:p w14:paraId="36493B5F" w14:textId="77777777" w:rsidR="009C4F3C" w:rsidRDefault="00000000">
            <w:pPr>
              <w:autoSpaceDE w:val="0"/>
              <w:autoSpaceDN w:val="0"/>
              <w:jc w:val="right"/>
            </w:pPr>
            <w:r>
              <w:rPr>
                <w:sz w:val="14"/>
              </w:rPr>
              <w:t>—</w:t>
            </w:r>
          </w:p>
        </w:tc>
        <w:tc>
          <w:tcPr>
            <w:tcW w:w="760" w:type="dxa"/>
          </w:tcPr>
          <w:p w14:paraId="32777804" w14:textId="77777777" w:rsidR="009C4F3C" w:rsidRDefault="00000000">
            <w:pPr>
              <w:autoSpaceDE w:val="0"/>
              <w:autoSpaceDN w:val="0"/>
              <w:jc w:val="right"/>
            </w:pPr>
            <w:r>
              <w:rPr>
                <w:sz w:val="14"/>
              </w:rPr>
              <w:t>0</w:t>
            </w:r>
          </w:p>
        </w:tc>
      </w:tr>
      <w:tr w:rsidR="009C4F3C" w14:paraId="212C928B" w14:textId="77777777">
        <w:tc>
          <w:tcPr>
            <w:tcW w:w="185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880" w:type="dxa"/>
          </w:tcPr>
          <w:p w14:paraId="08CF6245" w14:textId="77777777" w:rsidR="009C4F3C" w:rsidRDefault="00000000">
            <w:pPr>
              <w:autoSpaceDE w:val="0"/>
              <w:autoSpaceDN w:val="0"/>
              <w:jc w:val="right"/>
            </w:pPr>
            <w:r>
              <w:rPr>
                <w:sz w:val="14"/>
              </w:rPr>
              <w:t>25,203.4</w:t>
            </w:r>
          </w:p>
        </w:tc>
        <w:tc>
          <w:tcPr>
            <w:tcW w:w="810" w:type="dxa"/>
          </w:tcPr>
          <w:p w14:paraId="16F9A37F" w14:textId="77777777" w:rsidR="009C4F3C" w:rsidRDefault="00000000">
            <w:pPr>
              <w:autoSpaceDE w:val="0"/>
              <w:autoSpaceDN w:val="0"/>
              <w:jc w:val="right"/>
            </w:pPr>
            <w:r>
              <w:rPr>
                <w:sz w:val="14"/>
              </w:rPr>
              <w:t>13.76%</w:t>
            </w:r>
          </w:p>
        </w:tc>
        <w:tc>
          <w:tcPr>
            <w:tcW w:w="760" w:type="dxa"/>
          </w:tcPr>
          <w:p w14:paraId="0201FBFC" w14:textId="77777777" w:rsidR="009C4F3C" w:rsidRDefault="00000000">
            <w:pPr>
              <w:autoSpaceDE w:val="0"/>
              <w:autoSpaceDN w:val="0"/>
              <w:jc w:val="right"/>
            </w:pPr>
            <w:r>
              <w:rPr>
                <w:sz w:val="14"/>
              </w:rPr>
              <w:t>0</w:t>
            </w:r>
          </w:p>
        </w:tc>
      </w:tr>
      <w:tr w:rsidR="009C4F3C" w14:paraId="285A4B23" w14:textId="77777777">
        <w:tc>
          <w:tcPr>
            <w:tcW w:w="185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880" w:type="dxa"/>
          </w:tcPr>
          <w:p w14:paraId="556BE104" w14:textId="77777777" w:rsidR="009C4F3C" w:rsidRDefault="00000000">
            <w:pPr>
              <w:autoSpaceDE w:val="0"/>
              <w:autoSpaceDN w:val="0"/>
              <w:jc w:val="right"/>
            </w:pPr>
            <w:r>
              <w:rPr>
                <w:sz w:val="14"/>
              </w:rPr>
              <w:t>23,789.1</w:t>
            </w:r>
          </w:p>
        </w:tc>
        <w:tc>
          <w:tcPr>
            <w:tcW w:w="810" w:type="dxa"/>
          </w:tcPr>
          <w:p w14:paraId="26A42D4C" w14:textId="77777777" w:rsidR="009C4F3C" w:rsidRDefault="00000000">
            <w:pPr>
              <w:autoSpaceDE w:val="0"/>
              <w:autoSpaceDN w:val="0"/>
              <w:jc w:val="right"/>
            </w:pPr>
            <w:r>
              <w:rPr>
                <w:sz w:val="14"/>
              </w:rPr>
              <w:t>18.60%</w:t>
            </w:r>
          </w:p>
        </w:tc>
        <w:tc>
          <w:tcPr>
            <w:tcW w:w="760" w:type="dxa"/>
          </w:tcPr>
          <w:p w14:paraId="036A8418" w14:textId="77777777" w:rsidR="009C4F3C" w:rsidRDefault="00000000">
            <w:pPr>
              <w:autoSpaceDE w:val="0"/>
              <w:autoSpaceDN w:val="0"/>
              <w:jc w:val="right"/>
            </w:pPr>
            <w:r>
              <w:rPr>
                <w:sz w:val="14"/>
              </w:rPr>
              <w:t>24</w:t>
            </w:r>
          </w:p>
        </w:tc>
      </w:tr>
      <w:tr w:rsidR="009C4F3C" w14:paraId="1E5C43A3" w14:textId="77777777">
        <w:tc>
          <w:tcPr>
            <w:tcW w:w="185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880" w:type="dxa"/>
          </w:tcPr>
          <w:p w14:paraId="698C422B" w14:textId="77777777" w:rsidR="009C4F3C" w:rsidRDefault="00000000">
            <w:pPr>
              <w:autoSpaceDE w:val="0"/>
              <w:autoSpaceDN w:val="0"/>
              <w:jc w:val="right"/>
            </w:pPr>
            <w:r>
              <w:rPr>
                <w:sz w:val="14"/>
              </w:rPr>
              <w:t>12,609.8</w:t>
            </w:r>
          </w:p>
        </w:tc>
        <w:tc>
          <w:tcPr>
            <w:tcW w:w="810" w:type="dxa"/>
          </w:tcPr>
          <w:p w14:paraId="44D34A2E" w14:textId="77777777" w:rsidR="009C4F3C" w:rsidRDefault="00000000">
            <w:pPr>
              <w:autoSpaceDE w:val="0"/>
              <w:autoSpaceDN w:val="0"/>
              <w:jc w:val="right"/>
            </w:pPr>
            <w:r>
              <w:rPr>
                <w:sz w:val="14"/>
              </w:rPr>
              <w:t>56.85%</w:t>
            </w:r>
          </w:p>
        </w:tc>
        <w:tc>
          <w:tcPr>
            <w:tcW w:w="760" w:type="dxa"/>
          </w:tcPr>
          <w:p w14:paraId="78D1A963" w14:textId="77777777" w:rsidR="009C4F3C" w:rsidRDefault="00000000">
            <w:pPr>
              <w:autoSpaceDE w:val="0"/>
              <w:autoSpaceDN w:val="0"/>
              <w:jc w:val="right"/>
            </w:pPr>
            <w:r>
              <w:rPr>
                <w:sz w:val="14"/>
              </w:rPr>
              <w:t>0</w:t>
            </w:r>
          </w:p>
        </w:tc>
      </w:tr>
      <w:tr w:rsidR="009C4F3C" w14:paraId="4B92B81C" w14:textId="77777777">
        <w:tc>
          <w:tcPr>
            <w:tcW w:w="185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880" w:type="dxa"/>
          </w:tcPr>
          <w:p w14:paraId="6D177E47" w14:textId="77777777" w:rsidR="009C4F3C" w:rsidRDefault="00000000">
            <w:pPr>
              <w:autoSpaceDE w:val="0"/>
              <w:autoSpaceDN w:val="0"/>
              <w:jc w:val="right"/>
            </w:pPr>
            <w:r>
              <w:rPr>
                <w:sz w:val="14"/>
              </w:rPr>
              <w:t>10,805.0</w:t>
            </w:r>
          </w:p>
        </w:tc>
        <w:tc>
          <w:tcPr>
            <w:tcW w:w="810" w:type="dxa"/>
          </w:tcPr>
          <w:p w14:paraId="3954625A" w14:textId="77777777" w:rsidR="009C4F3C" w:rsidRDefault="00000000">
            <w:pPr>
              <w:autoSpaceDE w:val="0"/>
              <w:autoSpaceDN w:val="0"/>
              <w:jc w:val="right"/>
            </w:pPr>
            <w:r>
              <w:rPr>
                <w:sz w:val="14"/>
              </w:rPr>
              <w:t>63.03%</w:t>
            </w:r>
          </w:p>
        </w:tc>
        <w:tc>
          <w:tcPr>
            <w:tcW w:w="760" w:type="dxa"/>
          </w:tcPr>
          <w:p w14:paraId="754DFA92" w14:textId="77777777" w:rsidR="009C4F3C" w:rsidRDefault="00000000">
            <w:pPr>
              <w:autoSpaceDE w:val="0"/>
              <w:autoSpaceDN w:val="0"/>
              <w:jc w:val="right"/>
            </w:pPr>
            <w:r>
              <w:rPr>
                <w:sz w:val="14"/>
              </w:rPr>
              <w:t>227</w:t>
            </w:r>
          </w:p>
        </w:tc>
      </w:tr>
      <w:tr w:rsidR="009C4F3C" w14:paraId="03EB4A32" w14:textId="77777777">
        <w:tc>
          <w:tcPr>
            <w:tcW w:w="185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880" w:type="dxa"/>
          </w:tcPr>
          <w:p w14:paraId="6B7AF172" w14:textId="77777777" w:rsidR="009C4F3C" w:rsidRDefault="00000000">
            <w:pPr>
              <w:autoSpaceDE w:val="0"/>
              <w:autoSpaceDN w:val="0"/>
              <w:jc w:val="right"/>
            </w:pPr>
            <w:r>
              <w:rPr>
                <w:sz w:val="14"/>
              </w:rPr>
              <w:t>9,958.2</w:t>
            </w:r>
          </w:p>
        </w:tc>
        <w:tc>
          <w:tcPr>
            <w:tcW w:w="810" w:type="dxa"/>
          </w:tcPr>
          <w:p w14:paraId="668D88FD" w14:textId="77777777" w:rsidR="009C4F3C" w:rsidRDefault="00000000">
            <w:pPr>
              <w:autoSpaceDE w:val="0"/>
              <w:autoSpaceDN w:val="0"/>
              <w:jc w:val="right"/>
            </w:pPr>
            <w:r>
              <w:rPr>
                <w:sz w:val="14"/>
              </w:rPr>
              <w:t>65.93%</w:t>
            </w:r>
          </w:p>
        </w:tc>
        <w:tc>
          <w:tcPr>
            <w:tcW w:w="760" w:type="dxa"/>
          </w:tcPr>
          <w:p w14:paraId="5ECD4560" w14:textId="77777777" w:rsidR="009C4F3C" w:rsidRDefault="00000000">
            <w:pPr>
              <w:autoSpaceDE w:val="0"/>
              <w:autoSpaceDN w:val="0"/>
              <w:jc w:val="right"/>
            </w:pPr>
            <w:r>
              <w:rPr>
                <w:sz w:val="14"/>
              </w:rPr>
              <w:t>20,208</w:t>
            </w:r>
          </w:p>
        </w:tc>
      </w:tr>
      <w:tr w:rsidR="009C4F3C" w14:paraId="49E3E2B1" w14:textId="77777777">
        <w:tc>
          <w:tcPr>
            <w:tcW w:w="1850" w:type="dxa"/>
          </w:tcPr>
          <w:p w14:paraId="748A1D3A" w14:textId="77777777" w:rsidR="009C4F3C" w:rsidRDefault="00000000">
            <w:pPr>
              <w:autoSpaceDE w:val="0"/>
              <w:autoSpaceDN w:val="0"/>
            </w:pPr>
            <w:r>
              <w:rPr>
                <w:sz w:val="14"/>
              </w:rPr>
              <w:t xml:space="preserve">Sukprasert </w:t>
            </w:r>
            <w:r>
              <w:rPr>
                <w:sz w:val="14"/>
              </w:rPr>
              <w:t>시간</w:t>
            </w:r>
          </w:p>
        </w:tc>
        <w:tc>
          <w:tcPr>
            <w:tcW w:w="880" w:type="dxa"/>
          </w:tcPr>
          <w:p w14:paraId="71903BB2" w14:textId="77777777" w:rsidR="009C4F3C" w:rsidRDefault="00000000">
            <w:pPr>
              <w:autoSpaceDE w:val="0"/>
              <w:autoSpaceDN w:val="0"/>
              <w:jc w:val="right"/>
            </w:pPr>
            <w:r>
              <w:rPr>
                <w:sz w:val="14"/>
              </w:rPr>
              <w:t>9,583.6</w:t>
            </w:r>
          </w:p>
        </w:tc>
        <w:tc>
          <w:tcPr>
            <w:tcW w:w="810" w:type="dxa"/>
          </w:tcPr>
          <w:p w14:paraId="454EFEA5" w14:textId="77777777" w:rsidR="009C4F3C" w:rsidRDefault="00000000">
            <w:pPr>
              <w:autoSpaceDE w:val="0"/>
              <w:autoSpaceDN w:val="0"/>
              <w:jc w:val="right"/>
            </w:pPr>
            <w:r>
              <w:rPr>
                <w:sz w:val="14"/>
              </w:rPr>
              <w:t>67.21%</w:t>
            </w:r>
          </w:p>
        </w:tc>
        <w:tc>
          <w:tcPr>
            <w:tcW w:w="760" w:type="dxa"/>
          </w:tcPr>
          <w:p w14:paraId="028BD7D6" w14:textId="77777777" w:rsidR="009C4F3C" w:rsidRDefault="00000000">
            <w:pPr>
              <w:autoSpaceDE w:val="0"/>
              <w:autoSpaceDN w:val="0"/>
              <w:jc w:val="right"/>
            </w:pPr>
            <w:r>
              <w:rPr>
                <w:sz w:val="14"/>
              </w:rPr>
              <w:t>49,356</w:t>
            </w:r>
          </w:p>
        </w:tc>
      </w:tr>
      <w:tr w:rsidR="009C4F3C" w14:paraId="05BE7704" w14:textId="77777777">
        <w:tc>
          <w:tcPr>
            <w:tcW w:w="1850" w:type="dxa"/>
          </w:tcPr>
          <w:p w14:paraId="467C71C0" w14:textId="77777777" w:rsidR="009C4F3C" w:rsidRDefault="00000000">
            <w:pPr>
              <w:autoSpaceDE w:val="0"/>
              <w:autoSpaceDN w:val="0"/>
            </w:pPr>
            <w:r>
              <w:rPr>
                <w:sz w:val="14"/>
              </w:rPr>
              <w:t>CASPER CAP</w:t>
            </w:r>
          </w:p>
        </w:tc>
        <w:tc>
          <w:tcPr>
            <w:tcW w:w="880" w:type="dxa"/>
          </w:tcPr>
          <w:p w14:paraId="2F24AE3D" w14:textId="77777777" w:rsidR="009C4F3C" w:rsidRDefault="00000000">
            <w:pPr>
              <w:autoSpaceDE w:val="0"/>
              <w:autoSpaceDN w:val="0"/>
              <w:jc w:val="right"/>
            </w:pPr>
            <w:r>
              <w:rPr>
                <w:sz w:val="14"/>
              </w:rPr>
              <w:t>1,379.1</w:t>
            </w:r>
          </w:p>
        </w:tc>
        <w:tc>
          <w:tcPr>
            <w:tcW w:w="810" w:type="dxa"/>
          </w:tcPr>
          <w:p w14:paraId="2D3D2BAF" w14:textId="77777777" w:rsidR="009C4F3C" w:rsidRDefault="00000000">
            <w:pPr>
              <w:autoSpaceDE w:val="0"/>
              <w:autoSpaceDN w:val="0"/>
              <w:jc w:val="right"/>
            </w:pPr>
            <w:r>
              <w:rPr>
                <w:sz w:val="14"/>
              </w:rPr>
              <w:t>95.28%</w:t>
            </w:r>
          </w:p>
        </w:tc>
        <w:tc>
          <w:tcPr>
            <w:tcW w:w="760" w:type="dxa"/>
          </w:tcPr>
          <w:p w14:paraId="1EC1A408" w14:textId="77777777" w:rsidR="009C4F3C" w:rsidRDefault="00000000">
            <w:pPr>
              <w:autoSpaceDE w:val="0"/>
              <w:autoSpaceDN w:val="0"/>
              <w:jc w:val="right"/>
            </w:pPr>
            <w:r>
              <w:rPr>
                <w:sz w:val="14"/>
              </w:rPr>
              <w:t>69,310</w:t>
            </w:r>
          </w:p>
        </w:tc>
      </w:tr>
      <w:tr w:rsidR="009C4F3C" w14:paraId="673576F0" w14:textId="77777777">
        <w:tc>
          <w:tcPr>
            <w:tcW w:w="185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880" w:type="dxa"/>
          </w:tcPr>
          <w:p w14:paraId="4F7A60BD" w14:textId="77777777" w:rsidR="009C4F3C" w:rsidRDefault="00000000">
            <w:pPr>
              <w:autoSpaceDE w:val="0"/>
              <w:autoSpaceDN w:val="0"/>
              <w:jc w:val="right"/>
            </w:pPr>
            <w:r>
              <w:rPr>
                <w:sz w:val="14"/>
              </w:rPr>
              <w:t>990.8</w:t>
            </w:r>
          </w:p>
        </w:tc>
        <w:tc>
          <w:tcPr>
            <w:tcW w:w="810" w:type="dxa"/>
          </w:tcPr>
          <w:p w14:paraId="24DE1664" w14:textId="77777777" w:rsidR="009C4F3C" w:rsidRDefault="00000000">
            <w:pPr>
              <w:autoSpaceDE w:val="0"/>
              <w:autoSpaceDN w:val="0"/>
              <w:jc w:val="right"/>
            </w:pPr>
            <w:r>
              <w:rPr>
                <w:sz w:val="14"/>
              </w:rPr>
              <w:t>96.61%</w:t>
            </w:r>
          </w:p>
        </w:tc>
        <w:tc>
          <w:tcPr>
            <w:tcW w:w="76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autoSpaceDE w:val="0"/>
        <w:autoSpaceDN w:val="0"/>
        <w:ind w:firstLine="0"/>
        <w:jc w:val="left"/>
        <w:rPr>
          <w:sz w:val="15"/>
        </w:rPr>
      </w:pPr>
      <w:r>
        <w:rPr>
          <w:sz w:val="18"/>
        </w:rPr>
        <w:t xml:space="preserve">표 4.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autoSpaceDE w:val="0"/>
        <w:autoSpaceDN w:val="0"/>
        <w:ind w:firstLine="0"/>
        <w:jc w:val="left"/>
        <w:rPr>
          <w:sz w:val="18"/>
          <w:szCs w:val="18"/>
          <w:lang w:eastAsia="ko-KR"/>
        </w:rPr>
      </w:pPr>
      <w:r>
        <w:rPr>
          <w:sz w:val="18"/>
        </w:rPr>
        <w:t xml:space="preserve">그림 10. 선행 정책 재현 결과 비교 (표 4) — 세로축은 탄소 절감률, 가로축은 같은 기준으로 센 용량 상한 위반 건수다. ★ 본 연구, ○ 선행 정책. 왼쪽 위가 좋은 자리이며, 본 연구를 앞서는 정책은 모두 오른쪽 바깥, 곧 더 큰 과부하를 대가로 치른 자리에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pPr>
        <w:autoSpaceDE w:val="0"/>
        <w:autoSpaceDN w:val="0"/>
      </w:pPr>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