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keepLines/>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keepLines/>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keepLines/>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keepLines/>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keepLines/>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 xml:space="preserve">3.2절에서 식 (3)으로 리전별 동시 실행 상한을 선언했지만, 앞 절의 시간 이동 단계는 이 제약을 실제로 강제하지 않았다. 이 절은 그 제약을 알고리즘 수준에서 강제하는 방법을 제시한다. 이하에서 식 (3)의 우변인 여유율 적용 상한 ⌊η·cap_r⌋을 K_r로 줄여 쓰고, 예측 지평을 H로 둔다.</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spacing w:line="269" w:lineRule="auto"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spacing w:line="269" w:lineRule="auto" w:before="80" w:after="80"/>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 xml:space="preserve">워크로드는 총 146,000건이며 리전당 하루 50건이 제출된다. 도착률과 지연 등급별 분포(3:2:1:1:3)는 실측 트레이스를 확보하지 못해 설정한 합성 파라미터다. 지연 등급 k∈{1,…,5}는 지연 예산으로 사상된다 — k=1은 12~24시간, k=2는 2~8시간, k=3은 2~10분, k=4는 15~60초, k=5는 1~5초이며 등급 안에서는 로그균등 분포로 뽑는다.</w:t>
      </w:r>
    </w:p>
    <w:p w14:paraId="1D665DD2" w14:textId="77777777" w:rsidR="00CA0C2E" w:rsidRDefault="00000000" w:rsidP="00724B75">
      <w:pPr>
        <w:autoSpaceDE w:val="0"/>
        <w:autoSpaceDN w:val="0"/>
      </w:pPr>
      <w:r>
        <w:t xml:space="preserve">슬롯 길이는 1시간이지만 온라인 시간 이동은 슬롯 경계가 아니라 제출 시각을 기준으로 굴러가므로, 지연 예산이 1시간보다 짧은 k=3, 4, 5도 대상에서 빠지지 않는다. 실제로 이 세 등급에서 544건이 지연되었고 마감을 넘긴 작업은 없었다.</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 xml:space="preserve">세 단계를 동일한 회계로 비교하였다. 홈 리전 즉시 실행이 기준이고, 여기에 탄소 인지 공간 이동을, 다시 시간 이동을 더한다. 모든 단계에서 배치는 예측값으로 결정하고 배출량은 실측값으로 산정하였다.</w:t>
      </w:r>
    </w:p>
    <w:p w14:paraId="6D6BF2D6" w14:textId="77777777" w:rsidR="004A6DA0" w:rsidRDefault="00000000">
      <w:pPr>
        <w:keepLines/>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keepLines/>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Lines/>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keepLines/>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keepLines/>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 xml:space="preserve">절감률만 보면 CASPER(95.28%)와 Sukprasert의 완전예지 정책(96.61%)이 본 연구(63.03%)를 앞선다. 다만 절감률이 커지는 순서는 용량 상한 위반이 커지는 순서와 정확히 겹친다. CASPER의 지연·용량 제약은 본 연구의 워크로드 규모에서 한 번도 활성화되지 않는다 — 리전 간 최대 지연 244 ms가 상한 500 ms보다 작고, 시간당 최대 수요 38건이 리전 하나의 수용량 1,000건에 크게 못 미친다. 그래서 매 시간 전체 요청이 그 순간 가장 깨끗한 리전 하나로 몰리며, 평균 네트워크 지연은 120.4 ms로 본 연구 무릎점의 3.3배가 된다. Sukprasert의 상한은 미래를 완전히 아는 오프라인 오라클을 전제하므로 온라인 시스템으로는 얻을 수 없는 값이다.</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660" w:type="dxa"/>
          </w:tcPr>
          <w:p w14:paraId="19BAB165" w14:textId="77777777" w:rsidR="009C4F3C" w:rsidRDefault="00000000">
            <w:pPr>
              <w:autoSpaceDE w:val="0"/>
              <w:autoSpaceDN w:val="0"/>
            </w:pPr>
            <w:r>
              <w:rPr>
                <w:b/>
                <w:sz w:val="14"/>
              </w:rPr>
              <w:t>정책</w:t>
            </w:r>
          </w:p>
        </w:tc>
        <w:tc>
          <w:tcPr>
            <w:tcBorders>
              <w:bottom w:val="single" w:sz="6" w:space="0" w:color="000000"/>
            </w:tcBorders>
            <w:tcW w:w="960" w:type="dxa"/>
          </w:tcPr>
          <w:p w14:paraId="2A342CD6" w14:textId="77777777" w:rsidR="009C4F3C" w:rsidRDefault="00000000">
            <w:pPr>
              <w:autoSpaceDE w:val="0"/>
              <w:autoSpaceDN w:val="0"/>
              <w:jc w:val="right"/>
            </w:pPr>
            <w:r>
              <w:rPr>
                <w:b/>
                <w:sz w:val="14"/>
              </w:rPr>
              <w:t>총배출</w:t>
            </w:r>
            <w:r>
              <w:rPr>
                <w:b/>
                <w:sz w:val="14"/>
              </w:rPr>
            </w:r>
          </w:p>
        </w:tc>
        <w:tc>
          <w:tcPr>
            <w:tcBorders>
              <w:bottom w:val="single" w:sz="6" w:space="0" w:color="000000"/>
            </w:tcBorders>
            <w:tcW w:w="85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830" w:type="dxa"/>
          </w:tcPr>
          <w:p w14:paraId="1C4B4489" w14:textId="77777777" w:rsidR="009C4F3C" w:rsidRDefault="00000000">
            <w:pPr>
              <w:autoSpaceDE w:val="0"/>
              <w:autoSpaceDN w:val="0"/>
              <w:jc w:val="right"/>
            </w:pPr>
            <w:r>
              <w:rPr>
                <w:b/>
                <w:sz w:val="14"/>
              </w:rPr>
              <w:t>위반</w:t>
            </w:r>
            <w:r>
              <w:rPr>
                <w:b/>
                <w:sz w:val="14"/>
              </w:rPr>
            </w:r>
            <w:r>
              <w:rPr>
                <w:b/>
                <w:sz w:val="14"/>
              </w:rPr>
            </w:r>
            <w:r>
              <w:rPr>
                <w:b/>
                <w:sz w:val="14"/>
              </w:rPr>
            </w:r>
          </w:p>
        </w:tc>
      </w:tr>
      <w:tr w:rsidR="009C4F3C" w14:paraId="2C43F664" w14:textId="77777777">
        <w:tc>
          <w:tcPr>
            <w:tcW w:w="166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0735CEBF" w14:textId="77777777" w:rsidR="009C4F3C" w:rsidRDefault="00000000">
            <w:pPr>
              <w:autoSpaceDE w:val="0"/>
              <w:autoSpaceDN w:val="0"/>
              <w:jc w:val="right"/>
            </w:pPr>
            <w:r>
              <w:rPr>
                <w:sz w:val="14"/>
              </w:rPr>
              <w:t>29,225.6</w:t>
            </w:r>
          </w:p>
        </w:tc>
        <w:tc>
          <w:tcPr>
            <w:tcW w:w="850" w:type="dxa"/>
          </w:tcPr>
          <w:p w14:paraId="36493B5F" w14:textId="77777777" w:rsidR="009C4F3C" w:rsidRDefault="00000000">
            <w:pPr>
              <w:autoSpaceDE w:val="0"/>
              <w:autoSpaceDN w:val="0"/>
              <w:jc w:val="right"/>
            </w:pPr>
            <w:r>
              <w:rPr>
                <w:sz w:val="14"/>
              </w:rPr>
              <w:t>—</w:t>
            </w:r>
          </w:p>
        </w:tc>
        <w:tc>
          <w:tcPr>
            <w:tcW w:w="830" w:type="dxa"/>
          </w:tcPr>
          <w:p w14:paraId="32777804" w14:textId="77777777" w:rsidR="009C4F3C" w:rsidRDefault="00000000">
            <w:pPr>
              <w:autoSpaceDE w:val="0"/>
              <w:autoSpaceDN w:val="0"/>
              <w:jc w:val="right"/>
            </w:pPr>
            <w:r>
              <w:rPr>
                <w:sz w:val="14"/>
              </w:rPr>
              <w:t>0</w:t>
            </w:r>
          </w:p>
        </w:tc>
      </w:tr>
      <w:tr w:rsidR="009C4F3C" w14:paraId="212C928B" w14:textId="77777777">
        <w:tc>
          <w:tcPr>
            <w:tcW w:w="166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08CF6245" w14:textId="77777777" w:rsidR="009C4F3C" w:rsidRDefault="00000000">
            <w:pPr>
              <w:autoSpaceDE w:val="0"/>
              <w:autoSpaceDN w:val="0"/>
              <w:jc w:val="right"/>
            </w:pPr>
            <w:r>
              <w:rPr>
                <w:sz w:val="14"/>
              </w:rPr>
              <w:t>25,203.4</w:t>
            </w:r>
          </w:p>
        </w:tc>
        <w:tc>
          <w:tcPr>
            <w:tcW w:w="850" w:type="dxa"/>
          </w:tcPr>
          <w:p w14:paraId="16F9A37F" w14:textId="77777777" w:rsidR="009C4F3C" w:rsidRDefault="00000000">
            <w:pPr>
              <w:autoSpaceDE w:val="0"/>
              <w:autoSpaceDN w:val="0"/>
              <w:jc w:val="right"/>
            </w:pPr>
            <w:r>
              <w:rPr>
                <w:sz w:val="14"/>
              </w:rPr>
              <w:t>13.76%</w:t>
            </w:r>
          </w:p>
        </w:tc>
        <w:tc>
          <w:tcPr>
            <w:tcW w:w="830" w:type="dxa"/>
          </w:tcPr>
          <w:p w14:paraId="0201FBFC" w14:textId="77777777" w:rsidR="009C4F3C" w:rsidRDefault="00000000">
            <w:pPr>
              <w:autoSpaceDE w:val="0"/>
              <w:autoSpaceDN w:val="0"/>
              <w:jc w:val="right"/>
            </w:pPr>
            <w:r>
              <w:rPr>
                <w:sz w:val="14"/>
              </w:rPr>
              <w:t>0</w:t>
            </w:r>
          </w:p>
        </w:tc>
      </w:tr>
      <w:tr w:rsidR="009C4F3C" w14:paraId="285A4B23" w14:textId="77777777">
        <w:tc>
          <w:tcPr>
            <w:tcW w:w="166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556BE104" w14:textId="77777777" w:rsidR="009C4F3C" w:rsidRDefault="00000000">
            <w:pPr>
              <w:autoSpaceDE w:val="0"/>
              <w:autoSpaceDN w:val="0"/>
              <w:jc w:val="right"/>
            </w:pPr>
            <w:r>
              <w:rPr>
                <w:sz w:val="14"/>
              </w:rPr>
              <w:t>23,789.1</w:t>
            </w:r>
          </w:p>
        </w:tc>
        <w:tc>
          <w:tcPr>
            <w:tcW w:w="850" w:type="dxa"/>
          </w:tcPr>
          <w:p w14:paraId="26A42D4C" w14:textId="77777777" w:rsidR="009C4F3C" w:rsidRDefault="00000000">
            <w:pPr>
              <w:autoSpaceDE w:val="0"/>
              <w:autoSpaceDN w:val="0"/>
              <w:jc w:val="right"/>
            </w:pPr>
            <w:r>
              <w:rPr>
                <w:sz w:val="14"/>
              </w:rPr>
              <w:t>18.60%</w:t>
            </w:r>
          </w:p>
        </w:tc>
        <w:tc>
          <w:tcPr>
            <w:tcW w:w="830" w:type="dxa"/>
          </w:tcPr>
          <w:p w14:paraId="036A8418" w14:textId="77777777" w:rsidR="009C4F3C" w:rsidRDefault="00000000">
            <w:pPr>
              <w:autoSpaceDE w:val="0"/>
              <w:autoSpaceDN w:val="0"/>
              <w:jc w:val="right"/>
            </w:pPr>
            <w:r>
              <w:rPr>
                <w:sz w:val="14"/>
              </w:rPr>
              <w:t>24</w:t>
            </w:r>
          </w:p>
        </w:tc>
      </w:tr>
      <w:tr w:rsidR="009C4F3C" w14:paraId="1E5C43A3" w14:textId="77777777">
        <w:tc>
          <w:tcPr>
            <w:tcW w:w="166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698C422B" w14:textId="77777777" w:rsidR="009C4F3C" w:rsidRDefault="00000000">
            <w:pPr>
              <w:autoSpaceDE w:val="0"/>
              <w:autoSpaceDN w:val="0"/>
              <w:jc w:val="right"/>
            </w:pPr>
            <w:r>
              <w:rPr>
                <w:sz w:val="14"/>
              </w:rPr>
              <w:t>12,609.8</w:t>
            </w:r>
          </w:p>
        </w:tc>
        <w:tc>
          <w:tcPr>
            <w:tcW w:w="850" w:type="dxa"/>
          </w:tcPr>
          <w:p w14:paraId="44D34A2E" w14:textId="77777777" w:rsidR="009C4F3C" w:rsidRDefault="00000000">
            <w:pPr>
              <w:autoSpaceDE w:val="0"/>
              <w:autoSpaceDN w:val="0"/>
              <w:jc w:val="right"/>
            </w:pPr>
            <w:r>
              <w:rPr>
                <w:sz w:val="14"/>
              </w:rPr>
              <w:t>56.85%</w:t>
            </w:r>
          </w:p>
        </w:tc>
        <w:tc>
          <w:tcPr>
            <w:tcW w:w="830" w:type="dxa"/>
          </w:tcPr>
          <w:p w14:paraId="78D1A963" w14:textId="77777777" w:rsidR="009C4F3C" w:rsidRDefault="00000000">
            <w:pPr>
              <w:autoSpaceDE w:val="0"/>
              <w:autoSpaceDN w:val="0"/>
              <w:jc w:val="right"/>
            </w:pPr>
            <w:r>
              <w:rPr>
                <w:sz w:val="14"/>
              </w:rPr>
              <w:t>0</w:t>
            </w:r>
          </w:p>
        </w:tc>
      </w:tr>
      <w:tr w:rsidR="009C4F3C" w14:paraId="4B92B81C" w14:textId="77777777">
        <w:tc>
          <w:tcPr>
            <w:tcW w:w="166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6D177E47" w14:textId="77777777" w:rsidR="009C4F3C" w:rsidRDefault="00000000">
            <w:pPr>
              <w:autoSpaceDE w:val="0"/>
              <w:autoSpaceDN w:val="0"/>
              <w:jc w:val="right"/>
            </w:pPr>
            <w:r>
              <w:rPr>
                <w:sz w:val="14"/>
              </w:rPr>
              <w:t>10,805.0</w:t>
            </w:r>
          </w:p>
        </w:tc>
        <w:tc>
          <w:tcPr>
            <w:tcW w:w="850" w:type="dxa"/>
          </w:tcPr>
          <w:p w14:paraId="3954625A" w14:textId="77777777" w:rsidR="009C4F3C" w:rsidRDefault="00000000">
            <w:pPr>
              <w:autoSpaceDE w:val="0"/>
              <w:autoSpaceDN w:val="0"/>
              <w:jc w:val="right"/>
            </w:pPr>
            <w:r>
              <w:rPr>
                <w:sz w:val="14"/>
              </w:rPr>
              <w:t>63.03%</w:t>
            </w:r>
          </w:p>
        </w:tc>
        <w:tc>
          <w:tcPr>
            <w:tcW w:w="830" w:type="dxa"/>
          </w:tcPr>
          <w:p w14:paraId="754DFA92" w14:textId="77777777" w:rsidR="009C4F3C" w:rsidRDefault="00000000">
            <w:pPr>
              <w:autoSpaceDE w:val="0"/>
              <w:autoSpaceDN w:val="0"/>
              <w:jc w:val="right"/>
            </w:pPr>
            <w:r>
              <w:rPr>
                <w:sz w:val="14"/>
              </w:rPr>
              <w:t>227</w:t>
            </w:r>
          </w:p>
        </w:tc>
      </w:tr>
      <w:tr w:rsidR="009C4F3C" w14:paraId="03EB4A32" w14:textId="77777777">
        <w:tc>
          <w:tcPr>
            <w:tcW w:w="166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6B7AF172" w14:textId="77777777" w:rsidR="009C4F3C" w:rsidRDefault="00000000">
            <w:pPr>
              <w:autoSpaceDE w:val="0"/>
              <w:autoSpaceDN w:val="0"/>
              <w:jc w:val="right"/>
            </w:pPr>
            <w:r>
              <w:rPr>
                <w:sz w:val="14"/>
              </w:rPr>
              <w:t>9,958.2</w:t>
            </w:r>
          </w:p>
        </w:tc>
        <w:tc>
          <w:tcPr>
            <w:tcW w:w="850" w:type="dxa"/>
          </w:tcPr>
          <w:p w14:paraId="668D88FD" w14:textId="77777777" w:rsidR="009C4F3C" w:rsidRDefault="00000000">
            <w:pPr>
              <w:autoSpaceDE w:val="0"/>
              <w:autoSpaceDN w:val="0"/>
              <w:jc w:val="right"/>
            </w:pPr>
            <w:r>
              <w:rPr>
                <w:sz w:val="14"/>
              </w:rPr>
              <w:t>65.93%</w:t>
            </w:r>
          </w:p>
        </w:tc>
        <w:tc>
          <w:tcPr>
            <w:tcW w:w="830" w:type="dxa"/>
          </w:tcPr>
          <w:p w14:paraId="5ECD4560" w14:textId="77777777" w:rsidR="009C4F3C" w:rsidRDefault="00000000">
            <w:pPr>
              <w:autoSpaceDE w:val="0"/>
              <w:autoSpaceDN w:val="0"/>
              <w:jc w:val="right"/>
            </w:pPr>
            <w:r>
              <w:rPr>
                <w:sz w:val="14"/>
              </w:rPr>
              <w:t>20,208</w:t>
            </w:r>
          </w:p>
        </w:tc>
      </w:tr>
      <w:tr w:rsidR="009C4F3C" w14:paraId="49E3E2B1" w14:textId="77777777">
        <w:tc>
          <w:tcPr>
            <w:tcW w:w="1660" w:type="dxa"/>
          </w:tcPr>
          <w:p w14:paraId="748A1D3A" w14:textId="77777777" w:rsidR="009C4F3C" w:rsidRDefault="00000000">
            <w:pPr>
              <w:autoSpaceDE w:val="0"/>
              <w:autoSpaceDN w:val="0"/>
            </w:pPr>
            <w:r>
              <w:rPr>
                <w:sz w:val="14"/>
              </w:rPr>
              <w:t xml:space="preserve">Sukprasert </w:t>
            </w:r>
            <w:r>
              <w:rPr>
                <w:sz w:val="14"/>
              </w:rPr>
              <w:t>시간</w:t>
            </w:r>
          </w:p>
        </w:tc>
        <w:tc>
          <w:tcPr>
            <w:tcW w:w="960" w:type="dxa"/>
          </w:tcPr>
          <w:p w14:paraId="71903BB2" w14:textId="77777777" w:rsidR="009C4F3C" w:rsidRDefault="00000000">
            <w:pPr>
              <w:autoSpaceDE w:val="0"/>
              <w:autoSpaceDN w:val="0"/>
              <w:jc w:val="right"/>
            </w:pPr>
            <w:r>
              <w:rPr>
                <w:sz w:val="14"/>
              </w:rPr>
              <w:t>9,583.6</w:t>
            </w:r>
          </w:p>
        </w:tc>
        <w:tc>
          <w:tcPr>
            <w:tcW w:w="850" w:type="dxa"/>
          </w:tcPr>
          <w:p w14:paraId="454EFEA5" w14:textId="77777777" w:rsidR="009C4F3C" w:rsidRDefault="00000000">
            <w:pPr>
              <w:autoSpaceDE w:val="0"/>
              <w:autoSpaceDN w:val="0"/>
              <w:jc w:val="right"/>
            </w:pPr>
            <w:r>
              <w:rPr>
                <w:sz w:val="14"/>
              </w:rPr>
              <w:t>67.21%</w:t>
            </w:r>
          </w:p>
        </w:tc>
        <w:tc>
          <w:tcPr>
            <w:tcW w:w="830" w:type="dxa"/>
          </w:tcPr>
          <w:p w14:paraId="028BD7D6" w14:textId="77777777" w:rsidR="009C4F3C" w:rsidRDefault="00000000">
            <w:pPr>
              <w:autoSpaceDE w:val="0"/>
              <w:autoSpaceDN w:val="0"/>
              <w:jc w:val="right"/>
            </w:pPr>
            <w:r>
              <w:rPr>
                <w:sz w:val="14"/>
              </w:rPr>
              <w:t>49,356</w:t>
            </w:r>
          </w:p>
        </w:tc>
      </w:tr>
      <w:tr w:rsidR="009C4F3C" w14:paraId="05BE7704" w14:textId="77777777">
        <w:tc>
          <w:tcPr>
            <w:tcW w:w="1660" w:type="dxa"/>
          </w:tcPr>
          <w:p w14:paraId="467C71C0" w14:textId="77777777" w:rsidR="009C4F3C" w:rsidRDefault="00000000">
            <w:pPr>
              <w:autoSpaceDE w:val="0"/>
              <w:autoSpaceDN w:val="0"/>
            </w:pPr>
            <w:r>
              <w:rPr>
                <w:sz w:val="14"/>
              </w:rPr>
              <w:t>CASPER CAP</w:t>
            </w:r>
          </w:p>
        </w:tc>
        <w:tc>
          <w:tcPr>
            <w:tcW w:w="960" w:type="dxa"/>
          </w:tcPr>
          <w:p w14:paraId="2F24AE3D" w14:textId="77777777" w:rsidR="009C4F3C" w:rsidRDefault="00000000">
            <w:pPr>
              <w:autoSpaceDE w:val="0"/>
              <w:autoSpaceDN w:val="0"/>
              <w:jc w:val="right"/>
            </w:pPr>
            <w:r>
              <w:rPr>
                <w:sz w:val="14"/>
              </w:rPr>
              <w:t>1,379.1</w:t>
            </w:r>
          </w:p>
        </w:tc>
        <w:tc>
          <w:tcPr>
            <w:tcW w:w="850" w:type="dxa"/>
          </w:tcPr>
          <w:p w14:paraId="2D3D2BAF" w14:textId="77777777" w:rsidR="009C4F3C" w:rsidRDefault="00000000">
            <w:pPr>
              <w:autoSpaceDE w:val="0"/>
              <w:autoSpaceDN w:val="0"/>
              <w:jc w:val="right"/>
            </w:pPr>
            <w:r>
              <w:rPr>
                <w:sz w:val="14"/>
              </w:rPr>
              <w:t>95.28%</w:t>
            </w:r>
          </w:p>
        </w:tc>
        <w:tc>
          <w:tcPr>
            <w:tcW w:w="830" w:type="dxa"/>
          </w:tcPr>
          <w:p w14:paraId="1EC1A408" w14:textId="77777777" w:rsidR="009C4F3C" w:rsidRDefault="00000000">
            <w:pPr>
              <w:autoSpaceDE w:val="0"/>
              <w:autoSpaceDN w:val="0"/>
              <w:jc w:val="right"/>
            </w:pPr>
            <w:r>
              <w:rPr>
                <w:sz w:val="14"/>
              </w:rPr>
              <w:t>69,310</w:t>
            </w:r>
          </w:p>
        </w:tc>
      </w:tr>
      <w:tr w:rsidR="009C4F3C" w14:paraId="673576F0" w14:textId="77777777">
        <w:tc>
          <w:tcPr>
            <w:tcW w:w="166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4F7A60BD" w14:textId="77777777" w:rsidR="009C4F3C" w:rsidRDefault="00000000">
            <w:pPr>
              <w:autoSpaceDE w:val="0"/>
              <w:autoSpaceDN w:val="0"/>
              <w:jc w:val="right"/>
            </w:pPr>
            <w:r>
              <w:rPr>
                <w:sz w:val="14"/>
              </w:rPr>
              <w:t>990.8</w:t>
            </w:r>
          </w:p>
        </w:tc>
        <w:tc>
          <w:tcPr>
            <w:tcW w:w="850" w:type="dxa"/>
          </w:tcPr>
          <w:p w14:paraId="24DE1664" w14:textId="77777777" w:rsidR="009C4F3C" w:rsidRDefault="00000000">
            <w:pPr>
              <w:autoSpaceDE w:val="0"/>
              <w:autoSpaceDN w:val="0"/>
              <w:jc w:val="right"/>
            </w:pPr>
            <w:r>
              <w:rPr>
                <w:sz w:val="14"/>
              </w:rPr>
              <w:t>96.61%</w:t>
            </w:r>
          </w:p>
        </w:tc>
        <w:tc>
          <w:tcPr>
            <w:tcW w:w="83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keepLines/>
        <w:autoSpaceDE w:val="0"/>
        <w:autoSpaceDN w:val="0"/>
        <w:ind w:firstLine="0"/>
        <w:jc w:val="left"/>
        <w:rPr>
          <w:sz w:val="15"/>
        </w:rPr>
      </w:pPr>
      <w:r>
        <w:rPr>
          <w:sz w:val="18"/>
        </w:rPr>
        <w:t xml:space="preserve">표 4. 선행 정책을 원문 수식·공개 코드 그대로 재구현해 같은 회계로 채점한 결과 — 총배출은 kg, 위반은 건이다.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3"/>
                    </a:xfrm>
                    <a:prstGeom prst="rect">
                      <a:avLst/>
                    </a:prstGeom>
                  </pic:spPr>
                </pic:pic>
              </a:graphicData>
            </a:graphic>
          </wp:inline>
        </w:drawing>
      </w:r>
    </w:p>
    <w:p w14:paraId="2829A557" w14:textId="77777777" w:rsidR="00CA0C2E" w:rsidRPr="00083BF7" w:rsidRDefault="00000000" w:rsidP="00724B75">
      <w:pPr>
        <w:keepLines/>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rPr>
          <w:sz w:val="18"/>
        </w:rPr>
        <w:t>이 결과가 실무에 주는 함의는 두 가지다. 첫째, 탄소 인지 스케줄링의 이득을 보고할 때 용량을 함께 보고하지 않으면 그 숫자는 비교할 수 없다. 본 연구가 재현한 선행 정책들은 모두 본 연구보다 낮은 배출을 내지만, 같은 상한으로 다시 세면 수만 건의 초과 배정을 전제한다. 둘째, 시간 이동을 도입할지 판단하려면 리전별 탄소집약도의 평균이 아니라 변동 폭을 봐야 한다. 본 연구에서 물량이 가장 많이 몰린 프랑스는 평탄해서 시간 이동의 이득이 2.3%에 그쳤고, 이득의 대부분은 변동이 큰 캘리포니아에서 나왔다. 평균만 보고 저탄소 리전으로 몰아넣으면 시간 축에서 얻을 것이 남지 않는다.</w:t>
      </w:r>
    </w:p>
    <w:p w14:paraId="29096125" w14:textId="77777777" w:rsidR="00CA0C2E" w:rsidRDefault="00000000" w:rsidP="00724B75">
      <w:pPr>
        <w:autoSpaceDE w:val="0"/>
        <w:autoSpaceDN w:val="0"/>
      </w:pPr>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67E09E15" w14:textId="77777777" w:rsidR="00CA0C2E" w:rsidRDefault="00000000" w:rsidP="00724B75">
      <w:pPr>
        <w:autoSpaceDE w:val="0"/>
        <w:autoSpaceDN w:val="0"/>
      </w:pPr>
      <w:r>
        <w:t xml:space="preserve">향후 과제는 실제 예보 API 연동, 24시간을 넘는 예측 지평, 수요에 비례하는 용량 모델이다.</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