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EABAC85"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2.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53BDBE0A" w14:textId="77777777" w:rsidR="004D20D1" w:rsidRDefault="00000000">
      <w:pPr>
        <w:autoSpaceDE w:val="0"/>
        <w:autoSpaceDN w:val="0"/>
      </w:pPr>
      <w:r>
        <w:t>여유율을</w:t>
      </w:r>
      <w:r>
        <w:t xml:space="preserve"> </w:t>
      </w:r>
      <w:r>
        <w:t>적용한</w:t>
      </w:r>
      <w:r>
        <w:t xml:space="preserve"> </w:t>
      </w:r>
      <w:r>
        <w:t>이</w:t>
      </w:r>
      <w:r>
        <w:t xml:space="preserve"> </w:t>
      </w:r>
      <w:r>
        <w:t>상한은</w:t>
      </w:r>
      <w:r>
        <w:t xml:space="preserve"> 3.5</w:t>
      </w:r>
      <w:r>
        <w:t>절에서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2858504B" w14:textId="77777777" w:rsidR="00CA0C2E" w:rsidRDefault="00000000" w:rsidP="00724B75">
      <w:pPr>
        <w:autoSpaceDE w:val="0"/>
        <w:autoSpaceDN w:val="0"/>
      </w:pPr>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p>
    <w:p w14:paraId="66120270" w14:textId="0C69ED65" w:rsidR="00CA0C2E" w:rsidRDefault="009077D4" w:rsidP="00724B75">
      <w:pPr>
        <w:autoSpaceDE w:val="0"/>
        <w:autoSpaceDN w:val="0"/>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표 1은 그림 3과 같은 슬롯에서 α를 0에서 1까지 옮겼을 때 목적지가 어떻게 달라지는지 보인 것이다. 세 구간으로 갈리며, 무릎점은 그 가운데 구간을 고른다.</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2257"/>
        <w:gridCol w:w="2257"/>
        <w:gridCol w:w="2257"/>
        <w:gridCol w:w="2257"/>
      </w:tblGrid>
      <w:tr>
        <w:tc>
          <w:tcPr>
            <w:tcW w:w="1700" w:type="dxa"/>
            <w:tcBorders>
              <w:bottom w:val="single" w:sz="6" w:space="0" w:color="000000"/>
            </w:tcBorders>
            <w:tcW w:w="1120" w:type="dxa"/>
          </w:tcPr>
          <w:p>
            <w:pPr>
              <w:autoSpaceDE w:val="0"/>
              <w:autoSpaceDN w:val="0"/>
              <w:spacing w:after="0"/>
            </w:pPr>
            <w:r/>
            <w:r>
              <w:rPr>
                <w:b/>
                <w:sz w:val="15"/>
              </w:rPr>
              <w:t>α</w:t>
            </w:r>
          </w:p>
        </w:tc>
        <w:tc>
          <w:tcPr>
            <w:tcW w:w="1700" w:type="dxa"/>
            <w:tcBorders>
              <w:bottom w:val="single" w:sz="6" w:space="0" w:color="000000"/>
            </w:tcBorders>
            <w:tcW w:w="1500" w:type="dxa"/>
          </w:tcPr>
          <w:p>
            <w:pPr>
              <w:autoSpaceDE w:val="0"/>
              <w:autoSpaceDN w:val="0"/>
              <w:spacing w:after="0"/>
            </w:pPr>
            <w:r/>
            <w:r>
              <w:rPr>
                <w:b/>
                <w:sz w:val="15"/>
              </w:rPr>
              <w:t>배정 리전</w:t>
            </w:r>
          </w:p>
        </w:tc>
        <w:tc>
          <w:tcPr>
            <w:tcW w:w="1700" w:type="dxa"/>
            <w:tcBorders>
              <w:bottom w:val="single" w:sz="6" w:space="0" w:color="000000"/>
            </w:tcBorders>
            <w:tcW w:w="840" w:type="dxa"/>
          </w:tcPr>
          <w:p>
            <w:pPr>
              <w:autoSpaceDE w:val="0"/>
              <w:autoSpaceDN w:val="0"/>
              <w:spacing w:after="0"/>
              <w:jc w:val="right"/>
            </w:pPr>
            <w:r/>
            <w:r>
              <w:rPr>
                <w:b/>
                <w:sz w:val="15"/>
              </w:rPr>
              <w:t>탄소</w:t>
            </w:r>
          </w:p>
        </w:tc>
        <w:tc>
          <w:tcPr>
            <w:tcW w:w="1700" w:type="dxa"/>
            <w:tcBorders>
              <w:bottom w:val="single" w:sz="6" w:space="0" w:color="000000"/>
            </w:tcBorders>
            <w:tcW w:w="840" w:type="dxa"/>
          </w:tcPr>
          <w:p>
            <w:pPr>
              <w:autoSpaceDE w:val="0"/>
              <w:autoSpaceDN w:val="0"/>
              <w:spacing w:after="0"/>
              <w:jc w:val="right"/>
            </w:pPr>
            <w:r/>
            <w:r>
              <w:rPr>
                <w:b/>
                <w:sz w:val="15"/>
              </w:rPr>
              <w:t>지연</w:t>
            </w:r>
          </w:p>
        </w:tc>
      </w:tr>
      <w:tr>
        <w:tc>
          <w:tcPr>
            <w:tcW w:type="dxa" w:w="2257"/>
            <w:tcW w:w="1120" w:type="dxa"/>
          </w:tcPr>
          <w:p>
            <w:pPr>
              <w:autoSpaceDE w:val="0"/>
              <w:autoSpaceDN w:val="0"/>
              <w:spacing w:after="0"/>
            </w:pPr>
            <w:r/>
            <w:r>
              <w:rPr>
                <w:b w:val="0"/>
                <w:sz w:val="15"/>
              </w:rPr>
              <w:t>0.0 – 0.4</w:t>
            </w:r>
          </w:p>
        </w:tc>
        <w:tc>
          <w:tcPr>
            <w:tcW w:type="dxa" w:w="2257"/>
            <w:tcW w:w="1500" w:type="dxa"/>
          </w:tcPr>
          <w:p>
            <w:pPr>
              <w:autoSpaceDE w:val="0"/>
              <w:autoSpaceDN w:val="0"/>
              <w:spacing w:after="0"/>
            </w:pPr>
            <w:r/>
            <w:r>
              <w:rPr>
                <w:b w:val="0"/>
                <w:sz w:val="15"/>
              </w:rPr>
              <w:t>한국 (홈)</w:t>
            </w:r>
          </w:p>
        </w:tc>
        <w:tc>
          <w:tcPr>
            <w:tcW w:type="dxa" w:w="2257"/>
            <w:tcW w:w="840" w:type="dxa"/>
          </w:tcPr>
          <w:p>
            <w:pPr>
              <w:autoSpaceDE w:val="0"/>
              <w:autoSpaceDN w:val="0"/>
              <w:spacing w:after="0"/>
              <w:jc w:val="right"/>
            </w:pPr>
            <w:r/>
            <w:r>
              <w:rPr>
                <w:b w:val="0"/>
                <w:sz w:val="15"/>
              </w:rPr>
              <w:t>351</w:t>
            </w:r>
          </w:p>
        </w:tc>
        <w:tc>
          <w:tcPr>
            <w:tcW w:type="dxa" w:w="2257"/>
            <w:tcW w:w="840" w:type="dxa"/>
          </w:tcPr>
          <w:p>
            <w:pPr>
              <w:autoSpaceDE w:val="0"/>
              <w:autoSpaceDN w:val="0"/>
              <w:spacing w:after="0"/>
              <w:jc w:val="right"/>
            </w:pPr>
            <w:r/>
            <w:r>
              <w:rPr>
                <w:b w:val="0"/>
                <w:sz w:val="15"/>
              </w:rPr>
              <w:t>0</w:t>
            </w:r>
          </w:p>
        </w:tc>
      </w:tr>
      <w:tr>
        <w:tc>
          <w:tcPr>
            <w:tcW w:type="dxa" w:w="2257"/>
            <w:tcW w:w="1120" w:type="dxa"/>
          </w:tcPr>
          <w:p>
            <w:pPr>
              <w:autoSpaceDE w:val="0"/>
              <w:autoSpaceDN w:val="0"/>
              <w:spacing w:after="0"/>
            </w:pPr>
            <w:r/>
            <w:r>
              <w:rPr>
                <w:b w:val="0"/>
                <w:sz w:val="15"/>
              </w:rPr>
              <w:t>0.5 – 0.8</w:t>
            </w:r>
          </w:p>
        </w:tc>
        <w:tc>
          <w:tcPr>
            <w:tcW w:type="dxa" w:w="2257"/>
            <w:tcW w:w="1500" w:type="dxa"/>
          </w:tcPr>
          <w:p>
            <w:pPr>
              <w:autoSpaceDE w:val="0"/>
              <w:autoSpaceDN w:val="0"/>
              <w:spacing w:after="0"/>
            </w:pPr>
            <w:r/>
            <w:r>
              <w:rPr>
                <w:b w:val="0"/>
                <w:sz w:val="15"/>
              </w:rPr>
              <w:t>캘리포니아</w:t>
            </w:r>
          </w:p>
        </w:tc>
        <w:tc>
          <w:tcPr>
            <w:tcW w:type="dxa" w:w="2257"/>
            <w:tcW w:w="840" w:type="dxa"/>
          </w:tcPr>
          <w:p>
            <w:pPr>
              <w:autoSpaceDE w:val="0"/>
              <w:autoSpaceDN w:val="0"/>
              <w:spacing w:after="0"/>
              <w:jc w:val="right"/>
            </w:pPr>
            <w:r/>
            <w:r>
              <w:rPr>
                <w:b w:val="0"/>
                <w:sz w:val="15"/>
              </w:rPr>
              <w:t>14</w:t>
            </w:r>
          </w:p>
        </w:tc>
        <w:tc>
          <w:tcPr>
            <w:tcW w:type="dxa" w:w="2257"/>
            <w:tcW w:w="840" w:type="dxa"/>
          </w:tcPr>
          <w:p>
            <w:pPr>
              <w:autoSpaceDE w:val="0"/>
              <w:autoSpaceDN w:val="0"/>
              <w:spacing w:after="0"/>
              <w:jc w:val="right"/>
            </w:pPr>
            <w:r/>
            <w:r>
              <w:rPr>
                <w:b w:val="0"/>
                <w:sz w:val="15"/>
              </w:rPr>
              <w:t>134</w:t>
            </w:r>
          </w:p>
        </w:tc>
      </w:tr>
      <w:tr>
        <w:tc>
          <w:tcPr>
            <w:tcW w:type="dxa" w:w="2257"/>
            <w:tcW w:w="1120" w:type="dxa"/>
          </w:tcPr>
          <w:p>
            <w:pPr>
              <w:autoSpaceDE w:val="0"/>
              <w:autoSpaceDN w:val="0"/>
              <w:spacing w:after="0"/>
            </w:pPr>
            <w:r/>
            <w:r>
              <w:rPr>
                <w:b w:val="0"/>
                <w:sz w:val="15"/>
              </w:rPr>
              <w:t>1.0</w:t>
            </w:r>
          </w:p>
        </w:tc>
        <w:tc>
          <w:tcPr>
            <w:tcW w:type="dxa" w:w="2257"/>
            <w:tcW w:w="1500" w:type="dxa"/>
          </w:tcPr>
          <w:p>
            <w:pPr>
              <w:autoSpaceDE w:val="0"/>
              <w:autoSpaceDN w:val="0"/>
              <w:spacing w:after="0"/>
            </w:pPr>
            <w:r/>
            <w:r>
              <w:rPr>
                <w:b w:val="0"/>
                <w:sz w:val="15"/>
              </w:rPr>
              <w:t>프랑스</w:t>
            </w:r>
          </w:p>
        </w:tc>
        <w:tc>
          <w:tcPr>
            <w:tcW w:type="dxa" w:w="2257"/>
            <w:tcW w:w="840" w:type="dxa"/>
          </w:tcPr>
          <w:p>
            <w:pPr>
              <w:autoSpaceDE w:val="0"/>
              <w:autoSpaceDN w:val="0"/>
              <w:spacing w:after="0"/>
              <w:jc w:val="right"/>
            </w:pPr>
            <w:r/>
            <w:r>
              <w:rPr>
                <w:b w:val="0"/>
                <w:sz w:val="15"/>
              </w:rPr>
              <w:t>9</w:t>
            </w:r>
          </w:p>
        </w:tc>
        <w:tc>
          <w:tcPr>
            <w:tcW w:type="dxa" w:w="2257"/>
            <w:tcW w:w="840" w:type="dxa"/>
          </w:tcPr>
          <w:p>
            <w:pPr>
              <w:autoSpaceDE w:val="0"/>
              <w:autoSpaceDN w:val="0"/>
              <w:spacing w:after="0"/>
              <w:jc w:val="right"/>
            </w:pPr>
            <w:r/>
            <w:r>
              <w:rPr>
                <w:b w:val="0"/>
                <w:sz w:val="15"/>
              </w:rPr>
              <w:t>238</w:t>
            </w:r>
          </w:p>
        </w:tc>
      </w:tr>
    </w:tbl>
    <w:p w14:paraId="6D6BF2D6" w14:textId="77777777" w:rsidR="004A6DA0" w:rsidRDefault="00000000">
      <w:pPr>
        <w:autoSpaceDE w:val="0"/>
        <w:autoSpaceDN w:val="0"/>
        <w:keepNext/>
      </w:pPr>
      <w:r>
        <w:rPr>
          <w:b w:val="0"/>
          <w:sz w:val="18"/>
        </w:rPr>
        <w:t xml:space="preserve">표 1. 가중치 α 에 따른 배정 변화 — 그림 3과 같은 슬롯(한국 출발)이다. α가 커질수록 목적지가 홈에서 중간 지점을 거쳐 최저 탄소 리전으로 옮겨간다. 이 슬롯의 무릎점은 0.508로 가운데 구간에 들며, 여기서 탄소는 홈 대비 96% 줄고 지연은 상한의 55%만 쓴다. 실제 배정은 리전별 잔여 용량 avail_r 안에서만 이루어지므로, 같은 α라도 그 슬롯에 자리가 없으면 다음 후보로 넘어간다.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score</w:t>
      </w:r>
      <w:r>
        <w:t>는</w:t>
      </w:r>
      <w:r>
        <w:t xml:space="preserve"> 3.4</w:t>
      </w:r>
      <w:r>
        <w:t>절의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 xml:space="preserve">그림 6. 다섯 방식의 총 배출량 비교(표 2) — (a)전체, (b)①을 제외하고 x축을 확대한 것이며 점선은 ④ 값이다. 온라인 용량 인지(④, 10,805.0 kg, −63.03%)는 아무것도 안 했을 때(①)와, 용량 제약을 전혀 고려하지 않아 실현 불가능한 반사실 상한(③, 9,958.2 kg) 사이에 위치한다.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autoSpaceDE w:val="0"/>
        <w:autoSpaceDN w:val="0"/>
        <w:keepNext/>
      </w:pPr>
      <w:r>
        <w:rPr>
          <w:sz w:val="18"/>
          <w:szCs w:val="18"/>
        </w:rPr>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w:t>
      </w:r>
      <w:r>
        <w:rPr>
          <w:sz w:val="18"/>
          <w:szCs w:val="18"/>
        </w:rPr>
        <w:t>절</w:t>
      </w:r>
      <w:r>
        <w:rPr>
          <w:sz w:val="18"/>
          <w:szCs w:val="18"/>
        </w:rPr>
        <w:t>).</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5.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8. 선행 정책 재현 결과 비교 (표 5)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