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이동이 리전 용량을 고려하지 않으면 동시 실행 수가 여유율 상한의 3.4배에 이른다는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 xml:space="preserve">설계 원칙은 셋이다. 공간 이동을 먼저 적용하고 시간 이동을 보완으로 둔다 — 선행 연구는 전 세계 70% 이상의 리전이 일간 변동성이 낮아 시간 이동 단독의 전 지구 평균 절감이 8.4%에 그친다고 보고하였다. 탄소와 지연의 가중치는 고정하지 않는다. 그리고 배치 결정은 예측값으로, 배출량 산정은 실측값으로 한다 — 둘 다 예측값을 쓰면 예측 오차의 대가가 결과에서 사라진다.</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235200" cy="26817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681740"/>
                    </a:xfrm>
                    <a:prstGeom prst="rect">
                      <a:avLst/>
                    </a:prstGeom>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autoSpaceDE w:val="0"/>
        <w:autoSpaceDN w:val="0"/>
        <w:jc w:val="center"/>
      </w:pPr>
      <w:r>
        <w:drawing>
          <wp:inline xmlns:a="http://schemas.openxmlformats.org/drawingml/2006/main" xmlns:pic="http://schemas.openxmlformats.org/drawingml/2006/picture">
            <wp:extent cx="2235200" cy="2392362"/>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235200" cy="2392362"/>
                    </a:xfrm>
                    <a:prstGeom prst="rect"/>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rPr>
        <w:t xml:space="preserve">그림 2. 리전별 LSTM 구조 — 과거 168시간의 피처 13개를 은닉 64의 2층 LSTM에 넣어 향후 24시간을 낸다. 기상 3개 리전만 날씨 3개가 더해지고, 미래 24시간 날씨를 출력 헤드에서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autoSpaceDE w:val="0"/>
        <w:autoSpaceDN w:val="0"/>
        <w:ind w:firstLine="0"/>
        <w:jc w:val="left"/>
        <w:rPr>
          <w:sz w:val="18"/>
        </w:rPr>
      </w:pPr>
      <w:r>
        <w:rPr>
          <w:sz w:val="18"/>
        </w:rPr>
        <w:t xml:space="preserve">그림 3. 리전별 탄소집약도 예측 — 캘리포니아의 한 구간이다. 발행 시각 왼쪽이 입력 168시간, 오른쪽이 출력 24시간이며 평균 절대 오차는 12.2 gCO₂/kWh다.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szCs w:val="18"/>
        </w:rPr>
        <w:t xml:space="preserve">그림 4. 공간 이동이 맞바꾸는 두 축 — 한 슬롯의 여덟 리전이다(한국 출발). 134 ms를 쓰면 탄소가 337 줄지만 거기서 104 ms를 더 써도 5밖에 줄지 않는다. 무릎점은 이 꺾이는 자리다.</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그림 4의 슬롯에서 α를 0에서 1까지 옮기면 목적지가 세 구간으로 갈린다 — 0.4 이하에서는 홈(한국, 351 gCO₂/kWh), 0.5에서 0.8 사이에서는 캘리포니아(14, 134 ms), 1.0에서는 프랑스(9, 238 ms)다. 무릎점 0.508은 가운데 구간에 들어, 탄소를 홈 대비 96% 줄이면서 지연은 상한의 55%만 쓴다. 실제 배정은 리전별 잔여 용량 안에서만 이루어지므로 같은 α라도 그 슬롯에 자리가 없으면 다음 후보로 넘어간다.</w:t>
      </w:r>
    </w:p>
    <w:p>
      <w:pPr>
        <w:autoSpaceDE w:val="0"/>
        <w:autoSpaceDN w:val="0"/>
        <w:jc w:val="center"/>
      </w:pPr>
      <w:r>
        <w:drawing>
          <wp:inline xmlns:a="http://schemas.openxmlformats.org/drawingml/2006/main" xmlns:pic="http://schemas.openxmlformats.org/drawingml/2006/picture">
            <wp:extent cx="2603500" cy="1599916"/>
            <wp:docPr id="968" name="Picture 968"/>
            <wp:cNvGraphicFramePr>
              <a:graphicFrameLocks noChangeAspect="1"/>
            </wp:cNvGraphicFramePr>
            <a:graphic>
              <a:graphicData uri="http://schemas.openxmlformats.org/drawingml/2006/picture">
                <pic:pic>
                  <pic:nvPicPr>
                    <pic:cNvPr id="0" name="fig4_routing.png"/>
                    <pic:cNvPicPr/>
                  </pic:nvPicPr>
                  <pic:blipFill>
                    <a:blip r:embed="rId20"/>
                    <a:stretch>
                      <a:fillRect/>
                    </a:stretch>
                  </pic:blipFill>
                  <pic:spPr>
                    <a:xfrm>
                      <a:off x="0" y="0"/>
                      <a:ext cx="2603500" cy="1599916"/>
                    </a:xfrm>
                    <a:prstGeom prst="rect"/>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rPr>
        <w:t xml:space="preserve">그림 5. 공간 이동이 만든 리전 간 흐름 — 1년치 146,000건의 실제 배정이다. 위가 출발, 아래가 도착이고 선 굵기가 옮긴 작업 수다. 프랑스와 캘리포니아가 62.3%를 받는다.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autoSpaceDE w:val="0"/>
        <w:autoSpaceDN w:val="0"/>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autoSpaceDE w:val="0"/>
        <w:autoSpaceDN w:val="0"/>
        <w:ind w:firstLine="0"/>
        <w:jc w:val="left"/>
        <w:rPr>
          <w:sz w:val="18"/>
          <w:szCs w:val="18"/>
        </w:rPr>
      </w:pPr>
      <w:r>
        <w:rPr>
          <w:sz w:val="18"/>
          <w:szCs w:val="18"/>
        </w:rPr>
        <w:t xml:space="preserve">그림 7. 용량이 시간 이동을 막는 방식 — 캘리포니아의 한 날이다. 탄소가 낮아지는 저녁 시간대가 그대로 유효 상한에 닿아, 옮기고 싶은 자리가 이미 차 있다.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 xml:space="preserve">세 가지를 밝혀둔다. 우선순위는 탄소 이득이 아니라 남은 여유다 — 탄소 이득으로 정렬하면 나중에 측정할 지표로 지금 순서를 정하는 순환 논리가 된다. F_r(t)는 대기 집합 전체에서 고른다. 그리고 |F_r(t)|가 a_r(t)보다 많으면 그 슬롯은 의도적으로 상한을 넘긴다 — 본 설계에서 마감은 하드 제약이고 용량은 소프트 제약이며, 둘이 충돌하면 마감이 우선한다. 식 (3)은 일반 배정이 지켜야 할 상한이지 예외 없는 불변식이 아니다.</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autoSpaceDE w:val="0"/>
        <w:autoSpaceDN w:val="0"/>
        <w:keepNext/>
      </w:pPr>
      <w:r>
        <w:rPr>
          <w:sz w:val="18"/>
          <w:szCs w:val="18"/>
        </w:rPr>
        <w:t xml:space="preserve">표 1.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autoSpaceDE w:val="0"/>
        <w:autoSpaceDN w:val="0"/>
        <w:keepNext/>
        <w:ind w:firstLine="0"/>
        <w:jc w:val="left"/>
        <w:rPr>
          <w:sz w:val="18"/>
          <w:szCs w:val="18"/>
          <w:lang w:eastAsia="ko-KR"/>
        </w:rPr>
      </w:pPr>
      <w:r>
        <w:rPr>
          <w:sz w:val="18"/>
          <w:szCs w:val="18"/>
        </w:rPr>
        <w:t xml:space="preserve">그림 8. 다섯 방식의 총 배출량 비교 (표 1)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autoSpaceDE w:val="0"/>
        <w:autoSpaceDN w:val="0"/>
        <w:keepNext/>
      </w:pPr>
      <w:r>
        <w:rPr>
          <w:sz w:val="18"/>
          <w:szCs w:val="18"/>
        </w:rPr>
        <w:lastRenderedPageBreak/>
        <w:t xml:space="preserve">표 2.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 xml:space="preserve">이 초과가 얼마나 손해로 이어지는지 가늠하기 위해, 배치 시점에 용량을 전혀 모르는 대조군을 만들었다. 상한을 넘긴 작업을 되돌리기를 초과가 사라질 때까지 반복하는 규칙이며, 용량을 아는 스케줄러보다 항상 같거나 나쁘므로 그 결과는 아무 것도 하지 않았을 때 감수할 손해의 하한이 된다. 전체의 21.4%인 31,250건이 되돌려지고 총 절감률은 65.93%에서 59.37%로 내려간다. 손실은 고르지 않아 94.3%가 캘리포니아에서 나오며, 시간 이동이 만든 절감의 71.9%도 그 리전 몫이다. 탄소집약도가 종일 평탄한 리전에서는 실행 시각을 옮겨도 얻을 것이 없기 때문이다. 대조군의 절차와 리전별 손실 분해는 추가자료에 싣는다.</w:t>
      </w:r>
    </w:p>
    <w:p w14:paraId="2D04792B" w14:textId="77777777" w:rsidR="004D20D1" w:rsidRDefault="00000000">
      <w:pPr>
        <w:autoSpaceDE w:val="0"/>
        <w:autoSpaceDN w:val="0"/>
        <w:keepNext/>
      </w:pPr>
      <w:r>
        <w:rPr>
          <w:sz w:val="18"/>
          <w:szCs w:val="18"/>
        </w:rPr>
        <w:t xml:space="preserve">표 3.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31CCDD46" w14:textId="77777777" w:rsidR="004D20D1" w:rsidRDefault="00000000">
      <w:pPr>
        <w:autoSpaceDE w:val="0"/>
        <w:autoSpaceDN w:val="0"/>
      </w:pPr>
      <w:r>
        <w:rPr>
          <w:sz w:val="18"/>
        </w:rPr>
        <w:t>유효 상한을 바꾸어 보면 이 결과가 상한값에 얼마나 매여 있는지 드러난다. 상한을 6건으로 조이면 절감률이 58.05%로 내려가고, 마감이 임박해 미룰 수 없는 작업 때문에 그 상한 자체를 29,962번 넘긴다. 반대로 상한을 풀면 절감률이 65.80%까지 오르지만, 물리적 상한 12건을 기준으로 다시 세면 위반이 25,992건이다. 본 연구가 쓰는 12건은 그 사이에서 63.03%·227건에 해당한다.</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autoSpaceDE w:val="0"/>
        <w:autoSpaceDN w:val="0"/>
        <w:ind w:firstLine="0"/>
        <w:jc w:val="left"/>
        <w:rPr>
          <w:sz w:val="18"/>
          <w:szCs w:val="18"/>
        </w:rPr>
      </w:pPr>
      <w:r>
        <w:rPr>
          <w:sz w:val="18"/>
          <w:szCs w:val="18"/>
        </w:rPr>
        <w:t xml:space="preserve">그림 9. 시간 이동 전후 캘리포니아의 동시 실행 수 — 용량을 무시하면 상한의 3.4배인 41건까지 몰리고, 온라인 용량 인지로 17건까지 억제된다. 남는 초과는 마감이 임박한 작업이다.</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660" w:type="dxa"/>
          </w:tcPr>
          <w:p w14:paraId="19BAB165" w14:textId="77777777" w:rsidR="009C4F3C" w:rsidRDefault="00000000">
            <w:pPr>
              <w:autoSpaceDE w:val="0"/>
              <w:autoSpaceDN w:val="0"/>
            </w:pPr>
            <w:r>
              <w:rPr>
                <w:b/>
                <w:sz w:val="14"/>
              </w:rPr>
              <w:t>정책</w:t>
            </w:r>
          </w:p>
        </w:tc>
        <w:tc>
          <w:tcPr>
            <w:tcBorders>
              <w:bottom w:val="single" w:sz="6" w:space="0" w:color="000000"/>
            </w:tcBorders>
            <w:tcW w:w="960" w:type="dxa"/>
          </w:tcPr>
          <w:p w14:paraId="2A342CD6" w14:textId="77777777" w:rsidR="009C4F3C" w:rsidRDefault="00000000">
            <w:pPr>
              <w:autoSpaceDE w:val="0"/>
              <w:autoSpaceDN w:val="0"/>
              <w:jc w:val="right"/>
            </w:pPr>
            <w:r>
              <w:rPr>
                <w:b/>
                <w:sz w:val="14"/>
              </w:rPr>
              <w:t>총배출</w:t>
            </w:r>
            <w:r>
              <w:rPr>
                <w:b/>
                <w:sz w:val="14"/>
              </w:rPr>
            </w:r>
          </w:p>
        </w:tc>
        <w:tc>
          <w:tcPr>
            <w:tcBorders>
              <w:bottom w:val="single" w:sz="6" w:space="0" w:color="000000"/>
            </w:tcBorders>
            <w:tcW w:w="85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830" w:type="dxa"/>
          </w:tcPr>
          <w:p w14:paraId="1C4B4489" w14:textId="77777777" w:rsidR="009C4F3C" w:rsidRDefault="00000000">
            <w:pPr>
              <w:autoSpaceDE w:val="0"/>
              <w:autoSpaceDN w:val="0"/>
              <w:jc w:val="right"/>
            </w:pPr>
            <w:r>
              <w:rPr>
                <w:b/>
                <w:sz w:val="14"/>
              </w:rPr>
              <w:t>위반</w:t>
            </w:r>
            <w:r>
              <w:rPr>
                <w:b/>
                <w:sz w:val="14"/>
              </w:rPr>
            </w:r>
            <w:r>
              <w:rPr>
                <w:b/>
                <w:sz w:val="14"/>
              </w:rPr>
            </w:r>
            <w:r>
              <w:rPr>
                <w:b/>
                <w:sz w:val="14"/>
              </w:rPr>
            </w:r>
          </w:p>
        </w:tc>
      </w:tr>
      <w:tr w:rsidR="009C4F3C" w14:paraId="2C43F664" w14:textId="77777777">
        <w:tc>
          <w:tcPr>
            <w:tcW w:w="166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0735CEBF" w14:textId="77777777" w:rsidR="009C4F3C" w:rsidRDefault="00000000">
            <w:pPr>
              <w:autoSpaceDE w:val="0"/>
              <w:autoSpaceDN w:val="0"/>
              <w:jc w:val="right"/>
            </w:pPr>
            <w:r>
              <w:rPr>
                <w:sz w:val="14"/>
              </w:rPr>
              <w:t>29,225.6</w:t>
            </w:r>
          </w:p>
        </w:tc>
        <w:tc>
          <w:tcPr>
            <w:tcW w:w="850" w:type="dxa"/>
          </w:tcPr>
          <w:p w14:paraId="36493B5F" w14:textId="77777777" w:rsidR="009C4F3C" w:rsidRDefault="00000000">
            <w:pPr>
              <w:autoSpaceDE w:val="0"/>
              <w:autoSpaceDN w:val="0"/>
              <w:jc w:val="right"/>
            </w:pPr>
            <w:r>
              <w:rPr>
                <w:sz w:val="14"/>
              </w:rPr>
              <w:t>—</w:t>
            </w:r>
          </w:p>
        </w:tc>
        <w:tc>
          <w:tcPr>
            <w:tcW w:w="830" w:type="dxa"/>
          </w:tcPr>
          <w:p w14:paraId="32777804" w14:textId="77777777" w:rsidR="009C4F3C" w:rsidRDefault="00000000">
            <w:pPr>
              <w:autoSpaceDE w:val="0"/>
              <w:autoSpaceDN w:val="0"/>
              <w:jc w:val="right"/>
            </w:pPr>
            <w:r>
              <w:rPr>
                <w:sz w:val="14"/>
              </w:rPr>
              <w:t>0</w:t>
            </w:r>
          </w:p>
        </w:tc>
      </w:tr>
      <w:tr w:rsidR="009C4F3C" w14:paraId="212C928B" w14:textId="77777777">
        <w:tc>
          <w:tcPr>
            <w:tcW w:w="166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08CF6245" w14:textId="77777777" w:rsidR="009C4F3C" w:rsidRDefault="00000000">
            <w:pPr>
              <w:autoSpaceDE w:val="0"/>
              <w:autoSpaceDN w:val="0"/>
              <w:jc w:val="right"/>
            </w:pPr>
            <w:r>
              <w:rPr>
                <w:sz w:val="14"/>
              </w:rPr>
              <w:t>25,203.4</w:t>
            </w:r>
          </w:p>
        </w:tc>
        <w:tc>
          <w:tcPr>
            <w:tcW w:w="850" w:type="dxa"/>
          </w:tcPr>
          <w:p w14:paraId="16F9A37F" w14:textId="77777777" w:rsidR="009C4F3C" w:rsidRDefault="00000000">
            <w:pPr>
              <w:autoSpaceDE w:val="0"/>
              <w:autoSpaceDN w:val="0"/>
              <w:jc w:val="right"/>
            </w:pPr>
            <w:r>
              <w:rPr>
                <w:sz w:val="14"/>
              </w:rPr>
              <w:t>13.76%</w:t>
            </w:r>
          </w:p>
        </w:tc>
        <w:tc>
          <w:tcPr>
            <w:tcW w:w="830" w:type="dxa"/>
          </w:tcPr>
          <w:p w14:paraId="0201FBFC" w14:textId="77777777" w:rsidR="009C4F3C" w:rsidRDefault="00000000">
            <w:pPr>
              <w:autoSpaceDE w:val="0"/>
              <w:autoSpaceDN w:val="0"/>
              <w:jc w:val="right"/>
            </w:pPr>
            <w:r>
              <w:rPr>
                <w:sz w:val="14"/>
              </w:rPr>
              <w:t>0</w:t>
            </w:r>
          </w:p>
        </w:tc>
      </w:tr>
      <w:tr w:rsidR="009C4F3C" w14:paraId="285A4B23" w14:textId="77777777">
        <w:tc>
          <w:tcPr>
            <w:tcW w:w="166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556BE104" w14:textId="77777777" w:rsidR="009C4F3C" w:rsidRDefault="00000000">
            <w:pPr>
              <w:autoSpaceDE w:val="0"/>
              <w:autoSpaceDN w:val="0"/>
              <w:jc w:val="right"/>
            </w:pPr>
            <w:r>
              <w:rPr>
                <w:sz w:val="14"/>
              </w:rPr>
              <w:t>23,789.1</w:t>
            </w:r>
          </w:p>
        </w:tc>
        <w:tc>
          <w:tcPr>
            <w:tcW w:w="850" w:type="dxa"/>
          </w:tcPr>
          <w:p w14:paraId="26A42D4C" w14:textId="77777777" w:rsidR="009C4F3C" w:rsidRDefault="00000000">
            <w:pPr>
              <w:autoSpaceDE w:val="0"/>
              <w:autoSpaceDN w:val="0"/>
              <w:jc w:val="right"/>
            </w:pPr>
            <w:r>
              <w:rPr>
                <w:sz w:val="14"/>
              </w:rPr>
              <w:t>18.60%</w:t>
            </w:r>
          </w:p>
        </w:tc>
        <w:tc>
          <w:tcPr>
            <w:tcW w:w="830" w:type="dxa"/>
          </w:tcPr>
          <w:p w14:paraId="036A8418" w14:textId="77777777" w:rsidR="009C4F3C" w:rsidRDefault="00000000">
            <w:pPr>
              <w:autoSpaceDE w:val="0"/>
              <w:autoSpaceDN w:val="0"/>
              <w:jc w:val="right"/>
            </w:pPr>
            <w:r>
              <w:rPr>
                <w:sz w:val="14"/>
              </w:rPr>
              <w:t>24</w:t>
            </w:r>
          </w:p>
        </w:tc>
      </w:tr>
      <w:tr w:rsidR="009C4F3C" w14:paraId="1E5C43A3" w14:textId="77777777">
        <w:tc>
          <w:tcPr>
            <w:tcW w:w="166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698C422B" w14:textId="77777777" w:rsidR="009C4F3C" w:rsidRDefault="00000000">
            <w:pPr>
              <w:autoSpaceDE w:val="0"/>
              <w:autoSpaceDN w:val="0"/>
              <w:jc w:val="right"/>
            </w:pPr>
            <w:r>
              <w:rPr>
                <w:sz w:val="14"/>
              </w:rPr>
              <w:t>12,609.8</w:t>
            </w:r>
          </w:p>
        </w:tc>
        <w:tc>
          <w:tcPr>
            <w:tcW w:w="850" w:type="dxa"/>
          </w:tcPr>
          <w:p w14:paraId="44D34A2E" w14:textId="77777777" w:rsidR="009C4F3C" w:rsidRDefault="00000000">
            <w:pPr>
              <w:autoSpaceDE w:val="0"/>
              <w:autoSpaceDN w:val="0"/>
              <w:jc w:val="right"/>
            </w:pPr>
            <w:r>
              <w:rPr>
                <w:sz w:val="14"/>
              </w:rPr>
              <w:t>56.85%</w:t>
            </w:r>
          </w:p>
        </w:tc>
        <w:tc>
          <w:tcPr>
            <w:tcW w:w="830" w:type="dxa"/>
          </w:tcPr>
          <w:p w14:paraId="78D1A963" w14:textId="77777777" w:rsidR="009C4F3C" w:rsidRDefault="00000000">
            <w:pPr>
              <w:autoSpaceDE w:val="0"/>
              <w:autoSpaceDN w:val="0"/>
              <w:jc w:val="right"/>
            </w:pPr>
            <w:r>
              <w:rPr>
                <w:sz w:val="14"/>
              </w:rPr>
              <w:t>0</w:t>
            </w:r>
          </w:p>
        </w:tc>
      </w:tr>
      <w:tr w:rsidR="009C4F3C" w14:paraId="4B92B81C" w14:textId="77777777">
        <w:tc>
          <w:tcPr>
            <w:tcW w:w="166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6D177E47" w14:textId="77777777" w:rsidR="009C4F3C" w:rsidRDefault="00000000">
            <w:pPr>
              <w:autoSpaceDE w:val="0"/>
              <w:autoSpaceDN w:val="0"/>
              <w:jc w:val="right"/>
            </w:pPr>
            <w:r>
              <w:rPr>
                <w:sz w:val="14"/>
              </w:rPr>
              <w:t>10,805.0</w:t>
            </w:r>
          </w:p>
        </w:tc>
        <w:tc>
          <w:tcPr>
            <w:tcW w:w="850" w:type="dxa"/>
          </w:tcPr>
          <w:p w14:paraId="3954625A" w14:textId="77777777" w:rsidR="009C4F3C" w:rsidRDefault="00000000">
            <w:pPr>
              <w:autoSpaceDE w:val="0"/>
              <w:autoSpaceDN w:val="0"/>
              <w:jc w:val="right"/>
            </w:pPr>
            <w:r>
              <w:rPr>
                <w:sz w:val="14"/>
              </w:rPr>
              <w:t>63.03%</w:t>
            </w:r>
          </w:p>
        </w:tc>
        <w:tc>
          <w:tcPr>
            <w:tcW w:w="830" w:type="dxa"/>
          </w:tcPr>
          <w:p w14:paraId="754DFA92" w14:textId="77777777" w:rsidR="009C4F3C" w:rsidRDefault="00000000">
            <w:pPr>
              <w:autoSpaceDE w:val="0"/>
              <w:autoSpaceDN w:val="0"/>
              <w:jc w:val="right"/>
            </w:pPr>
            <w:r>
              <w:rPr>
                <w:sz w:val="14"/>
              </w:rPr>
              <w:t>227</w:t>
            </w:r>
          </w:p>
        </w:tc>
      </w:tr>
      <w:tr w:rsidR="009C4F3C" w14:paraId="03EB4A32" w14:textId="77777777">
        <w:tc>
          <w:tcPr>
            <w:tcW w:w="166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6B7AF172" w14:textId="77777777" w:rsidR="009C4F3C" w:rsidRDefault="00000000">
            <w:pPr>
              <w:autoSpaceDE w:val="0"/>
              <w:autoSpaceDN w:val="0"/>
              <w:jc w:val="right"/>
            </w:pPr>
            <w:r>
              <w:rPr>
                <w:sz w:val="14"/>
              </w:rPr>
              <w:t>9,958.2</w:t>
            </w:r>
          </w:p>
        </w:tc>
        <w:tc>
          <w:tcPr>
            <w:tcW w:w="850" w:type="dxa"/>
          </w:tcPr>
          <w:p w14:paraId="668D88FD" w14:textId="77777777" w:rsidR="009C4F3C" w:rsidRDefault="00000000">
            <w:pPr>
              <w:autoSpaceDE w:val="0"/>
              <w:autoSpaceDN w:val="0"/>
              <w:jc w:val="right"/>
            </w:pPr>
            <w:r>
              <w:rPr>
                <w:sz w:val="14"/>
              </w:rPr>
              <w:t>65.93%</w:t>
            </w:r>
          </w:p>
        </w:tc>
        <w:tc>
          <w:tcPr>
            <w:tcW w:w="830" w:type="dxa"/>
          </w:tcPr>
          <w:p w14:paraId="5ECD4560" w14:textId="77777777" w:rsidR="009C4F3C" w:rsidRDefault="00000000">
            <w:pPr>
              <w:autoSpaceDE w:val="0"/>
              <w:autoSpaceDN w:val="0"/>
              <w:jc w:val="right"/>
            </w:pPr>
            <w:r>
              <w:rPr>
                <w:sz w:val="14"/>
              </w:rPr>
              <w:t>20,208</w:t>
            </w:r>
          </w:p>
        </w:tc>
      </w:tr>
      <w:tr w:rsidR="009C4F3C" w14:paraId="49E3E2B1" w14:textId="77777777">
        <w:tc>
          <w:tcPr>
            <w:tcW w:w="1660" w:type="dxa"/>
          </w:tcPr>
          <w:p w14:paraId="748A1D3A" w14:textId="77777777" w:rsidR="009C4F3C" w:rsidRDefault="00000000">
            <w:pPr>
              <w:autoSpaceDE w:val="0"/>
              <w:autoSpaceDN w:val="0"/>
            </w:pPr>
            <w:r>
              <w:rPr>
                <w:sz w:val="14"/>
              </w:rPr>
              <w:t xml:space="preserve">Sukprasert </w:t>
            </w:r>
            <w:r>
              <w:rPr>
                <w:sz w:val="14"/>
              </w:rPr>
              <w:t>시간</w:t>
            </w:r>
          </w:p>
        </w:tc>
        <w:tc>
          <w:tcPr>
            <w:tcW w:w="960" w:type="dxa"/>
          </w:tcPr>
          <w:p w14:paraId="71903BB2" w14:textId="77777777" w:rsidR="009C4F3C" w:rsidRDefault="00000000">
            <w:pPr>
              <w:autoSpaceDE w:val="0"/>
              <w:autoSpaceDN w:val="0"/>
              <w:jc w:val="right"/>
            </w:pPr>
            <w:r>
              <w:rPr>
                <w:sz w:val="14"/>
              </w:rPr>
              <w:t>9,583.6</w:t>
            </w:r>
          </w:p>
        </w:tc>
        <w:tc>
          <w:tcPr>
            <w:tcW w:w="850" w:type="dxa"/>
          </w:tcPr>
          <w:p w14:paraId="454EFEA5" w14:textId="77777777" w:rsidR="009C4F3C" w:rsidRDefault="00000000">
            <w:pPr>
              <w:autoSpaceDE w:val="0"/>
              <w:autoSpaceDN w:val="0"/>
              <w:jc w:val="right"/>
            </w:pPr>
            <w:r>
              <w:rPr>
                <w:sz w:val="14"/>
              </w:rPr>
              <w:t>67.21%</w:t>
            </w:r>
          </w:p>
        </w:tc>
        <w:tc>
          <w:tcPr>
            <w:tcW w:w="830" w:type="dxa"/>
          </w:tcPr>
          <w:p w14:paraId="028BD7D6" w14:textId="77777777" w:rsidR="009C4F3C" w:rsidRDefault="00000000">
            <w:pPr>
              <w:autoSpaceDE w:val="0"/>
              <w:autoSpaceDN w:val="0"/>
              <w:jc w:val="right"/>
            </w:pPr>
            <w:r>
              <w:rPr>
                <w:sz w:val="14"/>
              </w:rPr>
              <w:t>49,356</w:t>
            </w:r>
          </w:p>
        </w:tc>
      </w:tr>
      <w:tr w:rsidR="009C4F3C" w14:paraId="05BE7704" w14:textId="77777777">
        <w:tc>
          <w:tcPr>
            <w:tcW w:w="1660" w:type="dxa"/>
          </w:tcPr>
          <w:p w14:paraId="467C71C0" w14:textId="77777777" w:rsidR="009C4F3C" w:rsidRDefault="00000000">
            <w:pPr>
              <w:autoSpaceDE w:val="0"/>
              <w:autoSpaceDN w:val="0"/>
            </w:pPr>
            <w:r>
              <w:rPr>
                <w:sz w:val="14"/>
              </w:rPr>
              <w:t>CASPER CAP</w:t>
            </w:r>
          </w:p>
        </w:tc>
        <w:tc>
          <w:tcPr>
            <w:tcW w:w="960" w:type="dxa"/>
          </w:tcPr>
          <w:p w14:paraId="2F24AE3D" w14:textId="77777777" w:rsidR="009C4F3C" w:rsidRDefault="00000000">
            <w:pPr>
              <w:autoSpaceDE w:val="0"/>
              <w:autoSpaceDN w:val="0"/>
              <w:jc w:val="right"/>
            </w:pPr>
            <w:r>
              <w:rPr>
                <w:sz w:val="14"/>
              </w:rPr>
              <w:t>1,379.1</w:t>
            </w:r>
          </w:p>
        </w:tc>
        <w:tc>
          <w:tcPr>
            <w:tcW w:w="850" w:type="dxa"/>
          </w:tcPr>
          <w:p w14:paraId="2D3D2BAF" w14:textId="77777777" w:rsidR="009C4F3C" w:rsidRDefault="00000000">
            <w:pPr>
              <w:autoSpaceDE w:val="0"/>
              <w:autoSpaceDN w:val="0"/>
              <w:jc w:val="right"/>
            </w:pPr>
            <w:r>
              <w:rPr>
                <w:sz w:val="14"/>
              </w:rPr>
              <w:t>95.28%</w:t>
            </w:r>
          </w:p>
        </w:tc>
        <w:tc>
          <w:tcPr>
            <w:tcW w:w="830" w:type="dxa"/>
          </w:tcPr>
          <w:p w14:paraId="1EC1A408" w14:textId="77777777" w:rsidR="009C4F3C" w:rsidRDefault="00000000">
            <w:pPr>
              <w:autoSpaceDE w:val="0"/>
              <w:autoSpaceDN w:val="0"/>
              <w:jc w:val="right"/>
            </w:pPr>
            <w:r>
              <w:rPr>
                <w:sz w:val="14"/>
              </w:rPr>
              <w:t>69,310</w:t>
            </w:r>
          </w:p>
        </w:tc>
      </w:tr>
      <w:tr w:rsidR="009C4F3C" w14:paraId="673576F0" w14:textId="77777777">
        <w:tc>
          <w:tcPr>
            <w:tcW w:w="166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4F7A60BD" w14:textId="77777777" w:rsidR="009C4F3C" w:rsidRDefault="00000000">
            <w:pPr>
              <w:autoSpaceDE w:val="0"/>
              <w:autoSpaceDN w:val="0"/>
              <w:jc w:val="right"/>
            </w:pPr>
            <w:r>
              <w:rPr>
                <w:sz w:val="14"/>
              </w:rPr>
              <w:t>990.8</w:t>
            </w:r>
          </w:p>
        </w:tc>
        <w:tc>
          <w:tcPr>
            <w:tcW w:w="850" w:type="dxa"/>
          </w:tcPr>
          <w:p w14:paraId="24DE1664" w14:textId="77777777" w:rsidR="009C4F3C" w:rsidRDefault="00000000">
            <w:pPr>
              <w:autoSpaceDE w:val="0"/>
              <w:autoSpaceDN w:val="0"/>
              <w:jc w:val="right"/>
            </w:pPr>
            <w:r>
              <w:rPr>
                <w:sz w:val="14"/>
              </w:rPr>
              <w:t>96.61%</w:t>
            </w:r>
          </w:p>
        </w:tc>
        <w:tc>
          <w:tcPr>
            <w:tcW w:w="83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autoSpaceDE w:val="0"/>
        <w:autoSpaceDN w:val="0"/>
        <w:ind w:firstLine="0"/>
        <w:jc w:val="left"/>
        <w:rPr>
          <w:sz w:val="15"/>
        </w:rPr>
      </w:pPr>
      <w:r>
        <w:rPr>
          <w:sz w:val="18"/>
        </w:rPr>
        <w:t xml:space="preserve">표 4. 선행 정책을 원문 수식·공개 코드 그대로 재구현해 같은 회계로 채점한 결과 — 총배출은 kg, 위반은 건이다. 위반은 본 연구의 유효 상한 12건을 모든 정책에 같은 정의로 적용해 센 값이다.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autoSpaceDE w:val="0"/>
        <w:autoSpaceDN w:val="0"/>
        <w:ind w:firstLine="0"/>
        <w:jc w:val="left"/>
        <w:rPr>
          <w:sz w:val="18"/>
          <w:szCs w:val="18"/>
          <w:lang w:eastAsia="ko-KR"/>
        </w:rPr>
      </w:pPr>
      <w:r>
        <w:rPr>
          <w:sz w:val="18"/>
        </w:rPr>
        <w:t xml:space="preserve">그림 10. 선행 정책 재현 결과 비교 (표 4) — 세로축 탄소 절감률, 가로축 용량 상한 위반이다. ★ 본 연구, ○ 선행 정책. 본 연구를 앞서는 정책은 모두 오른쪽 바깥에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 xml:space="preserve">본 연구의 주된 발견은 총계가 아니라 그 분포에 있다. 시간 이동이 만든 절감의 71.9%가 캘리포니아 한 리전에서 발생하며, 용량 초과가 가장 심한 리전도 캘리포니아다. 그 리전에서 상한을 넘긴 슬롯의 91.38%는 19시부터 21시까지 세 시간에 몰린다. 반면 탄소집약도가 종일 평탄한 프랑스는 배정 물량이 가장 많음에도 절감 기여가 2.3%에 그친다. 시간 이동이 값어치를 만드는 리전과 용량이 그 값어치를 가로막는 리전이 같으며, 선행 연구가 시간 이동의 예외로 지목한 리전이 바로 그곳이었다.</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