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5</w:t>
            </w:r>
          </w:p>
        </w:tc>
      </w:tr>
      <w:t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5</w:t>
            </w:r>
          </w:p>
        </w:tc>
      </w:tr>
      <w:t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5</w:t>
            </w:r>
          </w:p>
        </w:tc>
      </w:tr>
      <w:t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5</w:t>
            </w:r>
          </w:p>
        </w:tc>
      </w:tr>
      <w:tr>
        <w:tc>
          <w:tcPr>
            <w:tcW w:type="dxa" w:w="3173"/>
          </w:tcPr>
          <w:p>
            <w:r/>
            <w:r>
              <w:rPr>
                <w:b w:val="0"/>
                <w:sz w:val="17"/>
              </w:rPr>
              <w:t>A.6</w:t>
            </w:r>
          </w:p>
        </w:tc>
        <w:tc>
          <w:tcPr>
            <w:tcW w:type="dxa" w:w="3173"/>
          </w:tcPr>
          <w:p>
            <w:r/>
            <w:r>
              <w:rPr>
                <w:b w:val="0"/>
                <w:sz w:val="17"/>
              </w:rPr>
              <w:t>대응시키지 않은 정책과 그 이유</w:t>
            </w:r>
          </w:p>
        </w:tc>
        <w:tc>
          <w:tcPr>
            <w:tcW w:type="dxa" w:w="3173"/>
          </w:tcPr>
          <w:p>
            <w:r/>
            <w:r>
              <w:rPr>
                <w:b w:val="0"/>
                <w:sz w:val="17"/>
              </w:rPr>
              <w:t>4.4절</w:t>
            </w:r>
          </w:p>
        </w:tc>
      </w:tr>
      <w:tr>
        <w:tc>
          <w:tcPr>
            <w:tcW w:type="dxa" w:w="3173"/>
          </w:tcPr>
          <w:p>
            <w:r/>
            <w:r>
              <w:rPr>
                <w:b w:val="0"/>
                <w:sz w:val="17"/>
              </w:rPr>
              <w:t>A.7</w:t>
            </w:r>
          </w:p>
        </w:tc>
        <w:tc>
          <w:tcPr>
            <w:tcW w:type="dxa" w:w="3173"/>
          </w:tcPr>
          <w:p>
            <w:r/>
            <w:r>
              <w:rPr>
                <w:b w:val="0"/>
                <w:sz w:val="17"/>
              </w:rPr>
              <w:t>선행 연구의 평가 규모</w:t>
            </w:r>
          </w:p>
        </w:tc>
        <w:tc>
          <w:tcPr>
            <w:tcW w:type="dxa" w:w="3173"/>
          </w:tcPr>
          <w:p>
            <w:r/>
            <w:r>
              <w:rPr>
                <w:b w:val="0"/>
                <w:sz w:val="17"/>
              </w:rPr>
              <w:t>5절</w:t>
            </w:r>
          </w:p>
        </w:tc>
      </w:tr>
      <w:tr>
        <w:tc>
          <w:tcPr>
            <w:tcW w:type="dxa" w:w="3173"/>
          </w:tcPr>
          <w:p>
            <w:r/>
            <w:r>
              <w:rPr>
                <w:b w:val="0"/>
                <w:sz w:val="17"/>
              </w:rPr>
              <w:t>A.8</w:t>
            </w:r>
          </w:p>
        </w:tc>
        <w:tc>
          <w:tcPr>
            <w:tcW w:type="dxa" w:w="3173"/>
          </w:tcPr>
          <w:p>
            <w:r/>
            <w:r>
              <w:rPr>
                <w:b w:val="0"/>
                <w:sz w:val="17"/>
              </w:rPr>
              <w:t>아티팩트 — 코드와 재현 절차</w:t>
            </w:r>
          </w:p>
        </w:tc>
        <w:tc>
          <w:tcPr>
            <w:tcW w:type="dxa" w:w="3173"/>
          </w:tcPr>
          <w:p>
            <w:r/>
            <w:r>
              <w:rPr>
                <w:b w:val="0"/>
                <w:sz w:val="17"/>
              </w:rPr>
              <w:t>4.1절</w:t>
            </w:r>
          </w:p>
        </w:tc>
      </w:tr>
      <w:tr>
        <w:tc>
          <w:tcPr>
            <w:tcW w:type="dxa" w:w="3173"/>
          </w:tcPr>
          <w:p>
            <w:r/>
            <w:r>
              <w:rPr>
                <w:b w:val="0"/>
                <w:sz w:val="17"/>
              </w:rPr>
              <w:t>A.9</w:t>
            </w:r>
          </w:p>
        </w:tc>
        <w:tc>
          <w:tcPr>
            <w:tcW w:type="dxa" w:w="3173"/>
          </w:tcPr>
          <w:p>
            <w:r/>
            <w:r>
              <w:rPr>
                <w:b w:val="0"/>
                <w:sz w:val="17"/>
              </w:rPr>
              <w:t>정식화와 알고리즘의 세부</w:t>
            </w:r>
          </w:p>
        </w:tc>
        <w:tc>
          <w:tcPr>
            <w:tcW w:type="dxa" w:w="3173"/>
          </w:tcPr>
          <w:p>
            <w:r/>
            <w:r>
              <w:rPr>
                <w:b w:val="0"/>
                <w:sz w:val="17"/>
              </w:rPr>
              <w:t>3.2절 · 3.4절</w:t>
            </w:r>
          </w:p>
        </w:tc>
      </w:tr>
    </w:tbl>
    <w:p/>
    <w:p>
      <w:pPr>
        <w:jc w:val="both"/>
      </w:pPr>
      <w:r>
        <w:rPr>
          <w:i/>
          <w:sz w:val="20"/>
        </w:rPr>
        <w:t>표와 그림 번호는 본편과 구분하기 위해 S를 붙인다(표 S1, 그림 S1). 본편의 번호와 섞이지 않는다.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center"/>
      </w:pPr>
      <w:r>
        <w:rPr>
          <w:b/>
          <w:sz w:val="17"/>
        </w:rPr>
        <w:t>표 S2. CASPER 두 스케줄러를 본 연구 데이터에 적용한 결과</w:t>
      </w:r>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center"/>
      </w:pPr>
      <w:r>
        <w:rPr>
          <w:b/>
          <w:sz w:val="17"/>
        </w:rPr>
        <w:t>표 S3. CICS와 본 연구를 같은 축에서 비교한 결과</w:t>
      </w:r>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고르며(같은 값이 여럿이면 가장 이른 시각을 택한다), 공간과 시간을 함께 쓰는 경우에는 리전과 시작 시각의 격자를 전수 탐색한다.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jc w:val="both"/>
      </w:pPr>
      <w:r>
        <w:rPr>
          <w:i w:val="0"/>
          <w:sz w:val="20"/>
        </w:rPr>
        <w:t>원문 3절 2항이 “미래 탄소집약도와 작업 길이를 완전히 안다고 가정한다”고 밝히므로, 재현에서도 예측값이 아니라 실측 계열로 결정하였다. 이는 본 연구의 반사실 시나리오와 다른 조건이다. 원문의 워크로드 특성 표에 용량 항목이 없고 동시 실행 수를 확인하는 코드도 없어, 용량 제약은 두지 않았다.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center"/>
      </w:pPr>
      <w:r>
        <w:rPr>
          <w:b/>
          <w:sz w:val="17"/>
        </w:rPr>
        <w:t>표 S4. Sukprasert 알고리즘을 본 연구 데이터에 적용한 결과</w:t>
      </w:r>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center"/>
      </w:pPr>
      <w:r>
        <w:rPr>
          <w:b/>
          <w:sz w:val="17"/>
        </w:rPr>
        <w:t>표 S6. Caspian 정식화를 본 연구 데이터에 대응시킨 내역</w:t>
      </w:r>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center"/>
      </w:pPr>
      <w:r>
        <w:rPr>
          <w:b/>
          <w:sz w:val="17"/>
        </w:rPr>
        <w:t>표 S7. 슬롯 올림이 만드는 점유 부풀림 — k=3 이하가 전체의 60.1%다</w:t>
      </w:r>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center"/>
      </w:pPr>
      <w:r>
        <w:rPr>
          <w:b/>
          <w:sz w:val="17"/>
        </w:rPr>
        <w:t>표 S8. 올림과 분수 점유의 비교 — 60일 부분집합, 24,000건, ω1=1</w:t>
      </w:r>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pStyle w:val="Heading2"/>
      </w:pPr>
      <w:r>
        <w:rPr>
          <w:rFonts w:ascii="맑은 고딕" w:hAnsi="맑은 고딕"/>
        </w:rPr>
        <w:t>본편 표 4에 실은 값</w:t>
      </w:r>
    </w:p>
    <w:p>
      <w:pPr>
        <w:jc w:val="both"/>
      </w:pPr>
      <w:r>
        <w:rPr>
          <w:i/>
          <w:sz w:val="20"/>
        </w:rPr>
        <w:t>【전체 스케일 실행 진행 중】</w:t>
      </w:r>
    </w:p>
    <w:p>
      <w:pPr>
        <w:pStyle w:val="Heading1"/>
      </w:pPr>
      <w:r>
        <w:rPr>
          <w:rFonts w:ascii="맑은 고딕" w:hAnsi="맑은 고딕"/>
        </w:rPr>
        <w:t>A.6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A.7  선행 연구의 평가 규모</w:t>
      </w:r>
    </w:p>
    <w:p>
      <w:pPr>
        <w:jc w:val="both"/>
      </w:pPr>
      <w:r>
        <w:rPr>
          <w:i w:val="0"/>
          <w:sz w:val="20"/>
        </w:rPr>
        <w:t>본 연구는 실제 클러스터 배포가 아닌 시뮬레이션 평가다. 비교 대상들의 평가 방식을 원문에서 확인한 결과는 다음과 같다.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center"/>
      </w:pPr>
      <w:r>
        <w:rPr>
          <w:b/>
          <w:sz w:val="17"/>
        </w:rPr>
        <w:t>표 S5. 선행 연구와 본 연구의 평가 방식·규모</w:t>
      </w:r>
    </w:p>
    <w:p>
      <w:pPr>
        <w:jc w:val="both"/>
      </w:pPr>
      <w:r>
        <w:rPr>
          <w:i w:val="0"/>
          <w:sz w:val="20"/>
        </w:rPr>
        <w:t>탄소집약도는 계절에 따른 구조를 갖는다. 여름의 태양광과 겨울의 풍력, 리전 간 위상차는 하루 단위 실험으로는 관측할 수 없다. 본편 4.3절이 보고하는 “시간 이동 절감의 71.9%가 한 리전에서 발생하고 그 리전의 초과 슬롯 91.38%가 저녁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A.8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파일</w:t>
            </w:r>
          </w:p>
        </w:tc>
        <w:tc>
          <w:tcPr>
            <w:tcW w:type="dxa" w:w="4759"/>
          </w:tcPr>
          <w:p>
            <w:r/>
            <w:r>
              <w:rPr>
                <w:b/>
                <w:sz w:val="17"/>
              </w:rPr>
              <w:t>내용</w:t>
            </w:r>
          </w:p>
        </w:tc>
      </w:tr>
      <w:tr>
        <w:tc>
          <w:tcPr>
            <w:tcW w:type="dxa" w:w="4759"/>
          </w:tcPr>
          <w:p>
            <w:r/>
            <w:r>
              <w:rPr>
                <w:b w:val="0"/>
                <w:sz w:val="17"/>
              </w:rPr>
              <w:t>scheduler/prior_harness.py</w:t>
            </w:r>
          </w:p>
        </w:tc>
        <w:tc>
          <w:tcPr>
            <w:tcW w:type="dxa" w:w="4759"/>
          </w:tcPr>
          <w:p>
            <w:r/>
            <w:r>
              <w:rPr>
                <w:b w:val="0"/>
                <w:sz w:val="17"/>
              </w:rPr>
              <w:t>공용 채점 함수. 모든 재현이 여기를 통과한다</w:t>
            </w:r>
          </w:p>
        </w:tc>
      </w:tr>
      <w:tr>
        <w:tc>
          <w:tcPr>
            <w:tcW w:type="dxa" w:w="4759"/>
          </w:tcPr>
          <w:p>
            <w:r/>
            <w:r>
              <w:rPr>
                <w:b w:val="0"/>
                <w:sz w:val="17"/>
              </w:rPr>
              <w:t>scheduler/prior_casper.py</w:t>
            </w:r>
          </w:p>
        </w:tc>
        <w:tc>
          <w:tcPr>
            <w:tcW w:type="dxa" w:w="4759"/>
          </w:tcPr>
          <w:p>
            <w:r/>
            <w:r>
              <w:rPr>
                <w:b w:val="0"/>
                <w:sz w:val="17"/>
              </w:rPr>
              <w:t>CASPER MILP (A.2)</w:t>
            </w:r>
          </w:p>
        </w:tc>
      </w:tr>
      <w:tr>
        <w:tc>
          <w:tcPr>
            <w:tcW w:type="dxa" w:w="4759"/>
          </w:tcPr>
          <w:p>
            <w:r/>
            <w:r>
              <w:rPr>
                <w:b w:val="0"/>
                <w:sz w:val="17"/>
              </w:rPr>
              <w:t>scheduler/prior_cics.py</w:t>
            </w:r>
          </w:p>
        </w:tc>
        <w:tc>
          <w:tcPr>
            <w:tcW w:type="dxa" w:w="4759"/>
          </w:tcPr>
          <w:p>
            <w:r/>
            <w:r>
              <w:rPr>
                <w:b w:val="0"/>
                <w:sz w:val="17"/>
              </w:rPr>
              <w:t>CICS VCC (A.3)</w:t>
            </w:r>
          </w:p>
        </w:tc>
      </w:tr>
      <w:tr>
        <w:tc>
          <w:tcPr>
            <w:tcW w:type="dxa" w:w="4759"/>
          </w:tcPr>
          <w:p>
            <w:r/>
            <w:r>
              <w:rPr>
                <w:b w:val="0"/>
                <w:sz w:val="17"/>
              </w:rPr>
              <w:t>scheduler/prior_sukprasert.py</w:t>
            </w:r>
          </w:p>
        </w:tc>
        <w:tc>
          <w:tcPr>
            <w:tcW w:type="dxa" w:w="4759"/>
          </w:tcPr>
          <w:p>
            <w:r/>
            <w:r>
              <w:rPr>
                <w:b w:val="0"/>
                <w:sz w:val="17"/>
              </w:rPr>
              <w:t>Sukprasert 탐색 (A.4)</w:t>
            </w:r>
          </w:p>
        </w:tc>
      </w:tr>
      <w:tr>
        <w:tc>
          <w:tcPr>
            <w:tcW w:type="dxa" w:w="4759"/>
          </w:tcPr>
          <w:p>
            <w:r/>
            <w:r>
              <w:rPr>
                <w:b w:val="0"/>
                <w:sz w:val="17"/>
              </w:rPr>
              <w:t>scheduler/prior_caspian.py</w:t>
            </w:r>
          </w:p>
        </w:tc>
        <w:tc>
          <w:tcPr>
            <w:tcW w:type="dxa" w:w="4759"/>
          </w:tcPr>
          <w:p>
            <w:r/>
            <w:r>
              <w:rPr>
                <w:b w:val="0"/>
                <w:sz w:val="17"/>
              </w:rPr>
              <w:t>Caspian 정수 계획 (A.5)</w:t>
            </w:r>
          </w:p>
        </w:tc>
      </w:tr>
      <w:tr>
        <w:tc>
          <w:tcPr>
            <w:tcW w:type="dxa" w:w="4759"/>
          </w:tcPr>
          <w:p>
            <w:r/>
            <w:r>
              <w:rPr>
                <w:b w:val="0"/>
                <w:sz w:val="17"/>
              </w:rPr>
              <w:t>scheduler/reproduce.py</w:t>
            </w:r>
          </w:p>
        </w:tc>
        <w:tc>
          <w:tcPr>
            <w:tcW w:type="dxa" w:w="4759"/>
          </w:tcPr>
          <w:p>
            <w:r/>
            <w:r>
              <w:rPr>
                <w:b w:val="0"/>
                <w:sz w:val="17"/>
              </w:rPr>
              <w:t>본편 표·그림 재생성</w:t>
            </w:r>
          </w:p>
        </w:tc>
      </w:tr>
      <w:tr>
        <w:tc>
          <w:tcPr>
            <w:tcW w:type="dxa" w:w="4759"/>
          </w:tcPr>
          <w:p>
            <w:r/>
            <w:r>
              <w:rPr>
                <w:b w:val="0"/>
                <w:sz w:val="17"/>
              </w:rPr>
              <w:t>paper/diagram/gen_*.py</w:t>
            </w:r>
          </w:p>
        </w:tc>
        <w:tc>
          <w:tcPr>
            <w:tcW w:type="dxa" w:w="4759"/>
          </w:tcPr>
          <w:p>
            <w:r/>
            <w:r>
              <w:rPr>
                <w:b w:val="0"/>
                <w:sz w:val="17"/>
              </w:rPr>
              <w:t>그림 생성</w:t>
            </w:r>
          </w:p>
        </w:tc>
      </w:tr>
    </w:tbl>
    <w:p/>
    <w:p>
      <w:pPr>
        <w:jc w:val="center"/>
      </w:pPr>
      <w:r>
        <w:rPr>
          <w:b/>
          <w:sz w:val="17"/>
        </w:rPr>
        <w:t>표 S1. 재현에 쓰이는 파일</w:t>
      </w:r>
    </w:p>
    <w:p>
      <w:pPr>
        <w:pStyle w:val="Heading2"/>
      </w:pPr>
      <w:r>
        <w:rPr>
          <w:rFonts w:ascii="맑은 고딕" w:hAnsi="맑은 고딕"/>
        </w:rPr>
        <w:t>실행</w:t>
      </w:r>
    </w:p>
    <w:p>
      <w:pPr>
        <w:spacing w:after="80"/>
        <w:ind w:left="340"/>
      </w:pPr>
      <w:r>
        <w:rPr>
          <w:rFonts w:ascii="Menlo" w:hAnsi="Menlo"/>
          <w:sz w:val="17"/>
        </w:rPr>
        <w:t>python -m scheduler.reproduce           # 본편 표 1·2 재생성</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scheduler.prior_cics --sweep  # A.3 가중치 스윕</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3.12 이상, PuLP와 CBC 솔버, NumPy. 2025년 8개 리전 실측 탄소집약도 계열과 작업 146,000건의 명세가 저장소에 포함된다. 전체 재현에 보통 컴퓨터로 수십 분이 걸리며, A.5의 가중치 스윕은 그보다 오래 걸린다.</w:t>
      </w:r>
    </w:p>
    <w:p>
      <w:pPr>
        <w:pStyle w:val="Heading1"/>
      </w:pPr>
      <w:r>
        <w:rPr>
          <w:rFonts w:ascii="맑은 고딕" w:hAnsi="맑은 고딕"/>
        </w:rPr>
        <w:t>A.9  정식화와 알고리즘의 세부</w:t>
      </w:r>
    </w:p>
    <w:p>
      <w:pPr>
        <w:jc w:val="both"/>
      </w:pPr>
      <w:r>
        <w:rPr>
          <w:i w:val="0"/>
          <w:sz w:val="20"/>
        </w:rPr>
        <w:t>본편 3.2절과 3.4절은 각 식이 무엇을 뜻하는지만 밝히고 넘어간다. 한 줄씩 따라가려는 독자를 위해 그 세부를 여기 옮긴다.</w:t>
      </w:r>
    </w:p>
    <w:p>
      <w:pPr>
        <w:pStyle w:val="Heading2"/>
      </w:pPr>
      <w:r>
        <w:rPr>
          <w:rFonts w:ascii="맑은 고딕" w:hAnsi="맑은 고딕"/>
        </w:rPr>
        <w:t>제약식의 항별 의미</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2"/>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pStyle w:val="Heading2"/>
      </w:pPr>
      <w:r>
        <w:rPr>
          <w:rFonts w:ascii="맑은 고딕" w:hAnsi="맑은 고딕"/>
        </w:rPr>
        <w:t>실행 가능성 판정</w:t>
      </w:r>
    </w:p>
    <w:p>
      <w:pPr>
        <w:spacing w:after="80"/>
        <w:ind w:left="340"/>
      </w:pPr>
      <w:r>
        <w:rPr>
          <w:rFonts w:ascii="Menlo" w:hAnsi="Menlo"/>
          <w:sz w:val="17"/>
        </w:rPr>
        <w:t>feasible(j, t′)  ⟺  min a_{r(j)}(u) ≥ 1,   u ∈ [t′, t′+d_j)</w:t>
      </w:r>
    </w:p>
    <w:p>
      <w:pPr>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pStyle w:val="Heading2"/>
      </w:pPr>
      <w:r>
        <w:rPr>
          <w:rFonts w:ascii="맑은 고딕" w:hAnsi="맑은 고딕"/>
        </w:rPr>
        <w:t>우선순위를 순수 EDF 로 둔 까닭</w:t>
      </w:r>
    </w:p>
    <w:p>
      <w:pPr>
        <w:jc w:val="both"/>
      </w:pPr>
      <w:r>
        <w:rPr>
          <w:i w:val="0"/>
          <w:sz w:val="20"/>
        </w:rPr>
        <w:t>탄소 이득으로 정렬하면 나중에 측정할 지표로 지금 순서를 정하는 순환 논리가 된다. 남은 여유가 가장 적은 작업을 먼저 넣으면 여유가 0인 작업이 자동으로 1순위가 되어 별도의 예외 규칙도 필요 없다. 다만 마감 임박 집합 F_r(t) 는 후보 집합 P_r(t) 가 아니라 대기 집합 Q(t) 전체에서 고른다 — 그러지 않으면 지금이 최선이 아닌 마감 임박 작업이 후보에서 빠져 무한정 밀릴 수 있다.</w:t>
      </w:r>
    </w:p>
    <w:p>
      <w:pPr>
        <w:pStyle w:val="Heading2"/>
      </w:pPr>
      <w:r>
        <w:rPr>
          <w:rFonts w:ascii="맑은 고딕" w:hAnsi="맑은 고딕"/>
        </w:rPr>
        <w:t>종료와 마감에 대한 보장</w:t>
      </w:r>
    </w:p>
    <w:p>
      <w:pPr>
        <w:jc w:val="both"/>
      </w:pPr>
      <w:r>
        <w:rPr>
          <w:i w:val="0"/>
          <w:sz w:val="20"/>
        </w:rPr>
        <w:t>슬롯이 하나 지날 때마다 u_j(t) 는 정확히 1씩 줄고 시작 값이 유한하므로, 유한한 슬롯 안에 u_j(t) &lt; 1 에 도달해 F_r(t) 에 편입되며 용량과 무관하게 실행이 확정된다 — 어떤 작업도 무한히 연기되지 않는다. 또 후보 슬롯은 애초에 D_j − d_j 이하로만 잡히므로 마감을 넘긴 배정은 탐색 공간에 존재하지 않는다. 두 보장은 서로 독립이며, 전자는 용량이 아무리 빡빡해도 성립한다.</w:t>
      </w:r>
    </w:p>
    <w:p>
      <w:pPr>
        <w:pStyle w:val="Heading2"/>
      </w:pPr>
      <w:r>
        <w:rPr>
          <w:rFonts w:ascii="맑은 고딕" w:hAnsi="맑은 고딕"/>
        </w:rPr>
        <w:t>공간 이동의 식 (6)~(9)</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pStyle w:val="Heading2"/>
      </w:pPr>
      <w:r>
        <w:rPr>
          <w:rFonts w:ascii="맑은 고딕" w:hAnsi="맑은 고딕"/>
        </w:rPr>
        <w:t>시간 이동의 식 (10)~(11)</w:t>
      </w:r>
    </w:p>
    <w:p>
      <w:pPr>
        <w:spacing w:after="80"/>
        <w:ind w:left="340"/>
      </w:pPr>
      <w:r>
        <w:rPr>
          <w:rFonts w:ascii="Menlo" w:hAnsi="Menlo"/>
          <w:sz w:val="17"/>
        </w:rPr>
        <w:t>(10)  C̄(t) = (C(t) − C_min)/(C_max − C_min),   D̄(t) = (t − t_early)/(t_late − t_early)</w:t>
      </w:r>
    </w:p>
    <w:p>
      <w:pPr>
        <w:spacing w:after="80"/>
        <w:ind w:left="340"/>
      </w:pPr>
      <w:r>
        <w:rPr>
          <w:rFonts w:ascii="Menlo" w:hAnsi="Menlo"/>
          <w:sz w:val="17"/>
        </w:rPr>
        <w:t>(11)  score(t) = α(k)·C̄(t) + (1−α(k))·D̄(t),   α(k) = (6 − k)/5</w:t>
      </w:r>
    </w:p>
    <w:p>
      <w:pPr>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탄소 회계의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구현은 ⌊τ_j⌋ 부터 ⌈d_j⌉ 개 슬롯의 실측값을 산술평균한 뒤 실행 시간을 곱한다 (scheduler/timeshift.py 의 mean_carbon, scheduler/capacity.py 의 _Windows.actual_mean — 표 2의 네 행과 표 5의 선행 정책이 모두 이 함수를 통과한다).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bl>
    <w:p/>
    <w:p>
      <w:pPr>
        <w:jc w:val="both"/>
      </w:pPr>
      <w:r>
        <w:rPr>
          <w:i w:val="0"/>
          <w:sz w:val="20"/>
        </w:rPr>
        <w:t>다섯 정책 모두 0.3% 안이며 순위도 바뀌지 않는다. 차이의 크기가 갈리는 방향은 해석할 수 있다. 가장 작은 쪽(−0.025%)은 Sukprasert 의 공간+시간 결합으로, 거의 모든 작업을 프랑스 한 곳에 모으는 정책이다 — 한 리전 안에 머무르면 시간대 경계를 가로지르는 횟수가 줄어 슬롯 근사가 어긋날 여지도 줄어든다. 가장 큰 쪽(+0.292%)은 CICS 로, 리전을 고정한 채 하루 안에서 시각만 옮기므로 정반대로 경계를 자주 가로지른다. 용량 위반 건수와 마감 위반 건수는 회계와 무관하므로 두 방식에서 완전히 같다.</w:t>
      </w:r>
    </w:p>
    <w:p>
      <w:pPr>
        <w:pStyle w:val="Heading2"/>
      </w:pPr>
      <w:r>
        <w:rPr>
          <w:rFonts w:ascii="맑은 고딕" w:hAnsi="맑은 고딕"/>
        </w:rPr>
        <w:t>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