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지연 등급 분포를 바꾸어 재현한 결과</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A.10</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S14). 본편의 번호와 섞이지 않는다. 본편의 표·그림·식을 가리킬 때는 “본편 표 5”처럼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autoSpaceDE w:val="0"/>
        <w:autoSpaceDN w:val="0"/>
        <w:pStyle w:val="Heading2"/>
      </w:pPr>
      <w:r>
        <w:rPr>
          <w:rFonts w:ascii="맑은 고딕" w:hAnsi="맑은 고딕"/>
        </w:rPr>
        <w:t>본편 표 5에 실은 값</w:t>
      </w:r>
    </w:p>
    <w:p>
      <w:pPr>
        <w:autoSpaceDE w:val="0"/>
        <w:autoSpaceDN w:val="0"/>
        <w:jc w:val="both"/>
      </w:pPr>
      <w:r>
        <w:rPr>
          <w:i w:val="0"/>
          <w:sz w:val="20"/>
        </w:rPr>
        <w:t>146,000건 전체를 두 모드로 돌렸다. 본편 표 5에는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지표</w:t>
            </w:r>
          </w:p>
        </w:tc>
        <w:tc>
          <w:tcPr>
            <w:tcW w:type="dxa" w:w="3173"/>
          </w:tcPr>
          <w:p>
            <w:pPr>
              <w:autoSpaceDE w:val="0"/>
              <w:autoSpaceDN w:val="0"/>
              <w:jc w:val="right"/>
            </w:pPr>
            <w:r/>
            <w:r>
              <w:rPr>
                <w:b/>
                <w:sz w:val="17"/>
              </w:rPr>
              <w:t>올림 (A.5 대조)</w:t>
            </w:r>
          </w:p>
        </w:tc>
        <w:tc>
          <w:tcPr>
            <w:tcW w:type="dxa" w:w="3173"/>
          </w:tcPr>
          <w:p>
            <w:pPr>
              <w:autoSpaceDE w:val="0"/>
              <w:autoSpaceDN w:val="0"/>
              <w:jc w:val="right"/>
            </w:pPr>
            <w:r/>
            <w:r>
              <w:rPr>
                <w:b/>
                <w:sz w:val="17"/>
              </w:rPr>
              <w:t>분수 (본편 표 5)</w:t>
            </w:r>
          </w:p>
        </w:tc>
      </w:tr>
      <w:tr>
        <w:tc>
          <w:tcPr>
            <w:tcW w:type="dxa" w:w="3173"/>
          </w:tcPr>
          <w:p>
            <w:pPr>
              <w:autoSpaceDE w:val="0"/>
              <w:autoSpaceDN w:val="0"/>
            </w:pPr>
            <w:r/>
            <w:r>
              <w:rPr>
                <w:b w:val="0"/>
                <w:sz w:val="17"/>
              </w:rPr>
              <w:t>총배출</w:t>
            </w:r>
          </w:p>
        </w:tc>
        <w:tc>
          <w:tcPr>
            <w:tcW w:type="dxa" w:w="3173"/>
          </w:tcPr>
          <w:p>
            <w:pPr>
              <w:autoSpaceDE w:val="0"/>
              <w:autoSpaceDN w:val="0"/>
              <w:jc w:val="right"/>
            </w:pPr>
            <w:r/>
            <w:r>
              <w:rPr>
                <w:b w:val="0"/>
                <w:sz w:val="17"/>
              </w:rPr>
              <w:t>25,145.9 kg</w:t>
            </w:r>
          </w:p>
        </w:tc>
        <w:tc>
          <w:tcPr>
            <w:tcW w:type="dxa" w:w="3173"/>
          </w:tcPr>
          <w:p>
            <w:pPr>
              <w:autoSpaceDE w:val="0"/>
              <w:autoSpaceDN w:val="0"/>
              <w:jc w:val="right"/>
            </w:pPr>
            <w:r/>
            <w:r>
              <w:rPr>
                <w:b w:val="0"/>
                <w:sz w:val="17"/>
              </w:rPr>
              <w:t>20,308.4 kg</w:t>
            </w:r>
          </w:p>
        </w:tc>
      </w:tr>
      <w:tr>
        <w:tc>
          <w:tcPr>
            <w:tcW w:type="dxa" w:w="3173"/>
          </w:tcPr>
          <w:p>
            <w:pPr>
              <w:autoSpaceDE w:val="0"/>
              <w:autoSpaceDN w:val="0"/>
            </w:pPr>
            <w:r/>
            <w:r>
              <w:rPr>
                <w:b w:val="0"/>
                <w:sz w:val="17"/>
              </w:rPr>
              <w:t>절감률</w:t>
            </w:r>
          </w:p>
        </w:tc>
        <w:tc>
          <w:tcPr>
            <w:tcW w:type="dxa" w:w="3173"/>
          </w:tcPr>
          <w:p>
            <w:pPr>
              <w:autoSpaceDE w:val="0"/>
              <w:autoSpaceDN w:val="0"/>
              <w:jc w:val="right"/>
            </w:pPr>
            <w:r/>
            <w:r>
              <w:rPr>
                <w:b w:val="0"/>
                <w:sz w:val="17"/>
              </w:rPr>
              <w:t>13.96%</w:t>
            </w:r>
          </w:p>
        </w:tc>
        <w:tc>
          <w:tcPr>
            <w:tcW w:type="dxa" w:w="3173"/>
          </w:tcPr>
          <w:p>
            <w:pPr>
              <w:autoSpaceDE w:val="0"/>
              <w:autoSpaceDN w:val="0"/>
              <w:jc w:val="right"/>
            </w:pPr>
            <w:r/>
            <w:r>
              <w:rPr>
                <w:b w:val="0"/>
                <w:sz w:val="17"/>
              </w:rPr>
              <w:t>30.51%</w:t>
            </w:r>
          </w:p>
        </w:tc>
      </w:tr>
      <w:tr>
        <w:tc>
          <w:tcPr>
            <w:tcW w:type="dxa" w:w="3173"/>
          </w:tcPr>
          <w:p>
            <w:pPr>
              <w:autoSpaceDE w:val="0"/>
              <w:autoSpaceDN w:val="0"/>
            </w:pPr>
            <w:r/>
            <w:r>
              <w:rPr>
                <w:b w:val="0"/>
                <w:sz w:val="17"/>
              </w:rPr>
              <w:t>평균 지연</w:t>
            </w:r>
          </w:p>
        </w:tc>
        <w:tc>
          <w:tcPr>
            <w:tcW w:type="dxa" w:w="3173"/>
          </w:tcPr>
          <w:p>
            <w:pPr>
              <w:autoSpaceDE w:val="0"/>
              <w:autoSpaceDN w:val="0"/>
              <w:jc w:val="right"/>
            </w:pPr>
            <w:r/>
            <w:r>
              <w:rPr>
                <w:b w:val="0"/>
                <w:sz w:val="17"/>
              </w:rPr>
              <w:t>86.1 ms</w:t>
            </w:r>
          </w:p>
        </w:tc>
        <w:tc>
          <w:tcPr>
            <w:tcW w:type="dxa" w:w="3173"/>
          </w:tcPr>
          <w:p>
            <w:pPr>
              <w:autoSpaceDE w:val="0"/>
              <w:autoSpaceDN w:val="0"/>
              <w:jc w:val="right"/>
            </w:pPr>
            <w:r/>
            <w:r>
              <w:rPr>
                <w:b w:val="0"/>
                <w:sz w:val="17"/>
              </w:rPr>
              <w:t>105.9 ms</w:t>
            </w:r>
          </w:p>
        </w:tc>
      </w:tr>
      <w:tr>
        <w:tc>
          <w:tcPr>
            <w:tcW w:type="dxa" w:w="3173"/>
          </w:tcPr>
          <w:p>
            <w:pPr>
              <w:autoSpaceDE w:val="0"/>
              <w:autoSpaceDN w:val="0"/>
            </w:pPr>
            <w:r/>
            <w:r>
              <w:rPr>
                <w:b w:val="0"/>
                <w:sz w:val="17"/>
              </w:rPr>
              <w:t>마감 위반</w:t>
            </w:r>
          </w:p>
        </w:tc>
        <w:tc>
          <w:tcPr>
            <w:tcW w:type="dxa" w:w="3173"/>
          </w:tcPr>
          <w:p>
            <w:pPr>
              <w:autoSpaceDE w:val="0"/>
              <w:autoSpaceDN w:val="0"/>
              <w:jc w:val="right"/>
            </w:pPr>
            <w:r/>
            <w:r>
              <w:rPr>
                <w:b w:val="0"/>
                <w:sz w:val="17"/>
              </w:rPr>
              <w:t>29,108건</w:t>
            </w:r>
          </w:p>
        </w:tc>
        <w:tc>
          <w:tcPr>
            <w:tcW w:type="dxa" w:w="3173"/>
          </w:tcPr>
          <w:p>
            <w:pPr>
              <w:autoSpaceDE w:val="0"/>
              <w:autoSpaceDN w:val="0"/>
              <w:jc w:val="right"/>
            </w:pPr>
            <w:r/>
            <w:r>
              <w:rPr>
                <w:b w:val="0"/>
                <w:sz w:val="17"/>
              </w:rPr>
              <w:t>17,054건</w:t>
            </w:r>
          </w:p>
        </w:tc>
      </w:tr>
      <w:tr>
        <w:tc>
          <w:tcPr>
            <w:tcW w:type="dxa" w:w="3173"/>
          </w:tcPr>
          <w:p>
            <w:pPr>
              <w:autoSpaceDE w:val="0"/>
              <w:autoSpaceDN w:val="0"/>
            </w:pPr>
            <w:r/>
            <w:r>
              <w:rPr>
                <w:b w:val="0"/>
                <w:sz w:val="17"/>
              </w:rPr>
              <w:t>용량 위반</w:t>
            </w:r>
          </w:p>
        </w:tc>
        <w:tc>
          <w:tcPr>
            <w:tcW w:type="dxa" w:w="3173"/>
          </w:tcPr>
          <w:p>
            <w:pPr>
              <w:autoSpaceDE w:val="0"/>
              <w:autoSpaceDN w:val="0"/>
              <w:jc w:val="right"/>
            </w:pPr>
            <w:r/>
            <w:r>
              <w:rPr>
                <w:b w:val="0"/>
                <w:sz w:val="17"/>
              </w:rPr>
              <w:t>5,172건</w:t>
            </w:r>
          </w:p>
        </w:tc>
        <w:tc>
          <w:tcPr>
            <w:tcW w:type="dxa" w:w="3173"/>
          </w:tcPr>
          <w:p>
            <w:pPr>
              <w:autoSpaceDE w:val="0"/>
              <w:autoSpaceDN w:val="0"/>
              <w:jc w:val="right"/>
            </w:pPr>
            <w:r/>
            <w:r>
              <w:rPr>
                <w:b w:val="0"/>
                <w:sz w:val="17"/>
              </w:rPr>
              <w:t>3,745건</w:t>
            </w:r>
          </w:p>
        </w:tc>
      </w:tr>
    </w:tbl>
    <w:p/>
    <w:p>
      <w:pPr>
        <w:autoSpaceDE w:val="0"/>
        <w:autoSpaceDN w:val="0"/>
        <w:spacing w:before="120" w:after="40"/>
        <w:jc w:val="center"/>
      </w:pPr>
      <w:r>
        <w:rPr>
          <w:b/>
          <w:sz w:val="17"/>
        </w:rPr>
        <w:t>표 S7. Caspian 전체 스케일 — 슬롯 점유를 올림한 경우와 분수로 둔 경우</w:t>
      </w:r>
    </w:p>
    <w:p>
      <w:pPr>
        <w:autoSpaceDE w:val="0"/>
        <w:autoSpaceDN w:val="0"/>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autoSpaceDE w:val="0"/>
        <w:autoSpaceDN w:val="0"/>
        <w:pStyle w:val="Heading1"/>
      </w:pPr>
      <w:r>
        <w:rPr>
          <w:rFonts w:ascii="맑은 고딕" w:hAnsi="맑은 고딕"/>
        </w:rPr>
        <w:t>A.6  지연 등급 분포를 바꾸어 재현한 결과</w:t>
      </w:r>
    </w:p>
    <w:p>
      <w:pPr>
        <w:autoSpaceDE w:val="0"/>
        <w:autoSpaceDN w:val="0"/>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pPr>
              <w:autoSpaceDE w:val="0"/>
              <w:autoSpaceDN w:val="0"/>
            </w:pPr>
            <w:r/>
            <w:r>
              <w:rPr>
                <w:b/>
                <w:sz w:val="17"/>
              </w:rPr>
              <w:t>분포 (k=1..5)</w:t>
            </w:r>
          </w:p>
        </w:tc>
        <w:tc>
          <w:tcPr>
            <w:tcW w:type="dxa" w:w="1058"/>
          </w:tcPr>
          <w:p>
            <w:pPr>
              <w:autoSpaceDE w:val="0"/>
              <w:autoSpaceDN w:val="0"/>
              <w:jc w:val="right"/>
            </w:pPr>
            <w:r/>
            <w:r>
              <w:rPr>
                <w:b/>
                <w:sz w:val="17"/>
              </w:rPr>
              <w:t>유연 비중</w:t>
            </w:r>
          </w:p>
        </w:tc>
        <w:tc>
          <w:tcPr>
            <w:tcW w:type="dxa" w:w="1058"/>
          </w:tcPr>
          <w:p>
            <w:pPr>
              <w:autoSpaceDE w:val="0"/>
              <w:autoSpaceDN w:val="0"/>
              <w:jc w:val="right"/>
            </w:pPr>
            <w:r/>
            <w:r>
              <w:rPr>
                <w:b/>
                <w:sz w:val="17"/>
              </w:rPr>
              <w:t>기준 ① (kg)</w:t>
            </w:r>
          </w:p>
        </w:tc>
        <w:tc>
          <w:tcPr>
            <w:tcW w:type="dxa" w:w="1058"/>
          </w:tcPr>
          <w:p>
            <w:pPr>
              <w:autoSpaceDE w:val="0"/>
              <w:autoSpaceDN w:val="0"/>
              <w:jc w:val="right"/>
            </w:pPr>
            <w:r/>
            <w:r>
              <w:rPr>
                <w:b/>
                <w:sz w:val="17"/>
              </w:rPr>
              <w:t>④ 절감률</w:t>
            </w:r>
          </w:p>
        </w:tc>
        <w:tc>
          <w:tcPr>
            <w:tcW w:type="dxa" w:w="1058"/>
          </w:tcPr>
          <w:p>
            <w:pPr>
              <w:autoSpaceDE w:val="0"/>
              <w:autoSpaceDN w:val="0"/>
              <w:jc w:val="right"/>
            </w:pPr>
            <w:r/>
            <w:r>
              <w:rPr>
                <w:b/>
                <w:sz w:val="17"/>
              </w:rPr>
              <w:t>용량 위반</w:t>
            </w:r>
          </w:p>
        </w:tc>
        <w:tc>
          <w:tcPr>
            <w:tcW w:type="dxa" w:w="1058"/>
          </w:tcPr>
          <w:p>
            <w:pPr>
              <w:autoSpaceDE w:val="0"/>
              <w:autoSpaceDN w:val="0"/>
              <w:jc w:val="right"/>
            </w:pPr>
            <w:r/>
            <w:r>
              <w:rPr>
                <w:b/>
                <w:sz w:val="17"/>
              </w:rPr>
              <w:t>마감 위반</w:t>
            </w:r>
          </w:p>
        </w:tc>
        <w:tc>
          <w:tcPr>
            <w:tcW w:type="dxa" w:w="1058"/>
          </w:tcPr>
          <w:p>
            <w:pPr>
              <w:autoSpaceDE w:val="0"/>
              <w:autoSpaceDN w:val="0"/>
            </w:pPr>
            <w:r/>
            <w:r>
              <w:rPr>
                <w:b/>
                <w:sz w:val="17"/>
              </w:rPr>
              <w:t>용량 비용</w:t>
            </w:r>
          </w:p>
        </w:tc>
        <w:tc>
          <w:tcPr>
            <w:tcW w:type="dxa" w:w="1058"/>
          </w:tcPr>
          <w:p>
            <w:pPr>
              <w:autoSpaceDE w:val="0"/>
              <w:autoSpaceDN w:val="0"/>
            </w:pPr>
            <w:r/>
            <w:r>
              <w:rPr>
                <w:b/>
                <w:sz w:val="17"/>
              </w:rPr>
              <w:t>예측 비용</w:t>
            </w:r>
          </w:p>
        </w:tc>
        <w:tc>
          <w:tcPr>
            <w:tcW w:type="dxa" w:w="1058"/>
          </w:tcPr>
          <w:p>
            <w:pPr>
              <w:autoSpaceDE w:val="0"/>
              <w:autoSpaceDN w:val="0"/>
              <w:jc w:val="right"/>
            </w:pPr>
            <w:r/>
            <w:r>
              <w:rPr>
                <w:b/>
                <w:sz w:val="17"/>
              </w:rPr>
              <w:t>배율</w:t>
            </w:r>
          </w:p>
        </w:tc>
      </w:tr>
      <w:tr>
        <w:tc>
          <w:tcPr>
            <w:tcW w:type="dxa" w:w="1058"/>
          </w:tcPr>
          <w:p>
            <w:pPr>
              <w:autoSpaceDE w:val="0"/>
              <w:autoSpaceDN w:val="0"/>
            </w:pPr>
            <w:r/>
            <w:r>
              <w:rPr>
                <w:b w:val="0"/>
                <w:sz w:val="17"/>
              </w:rPr>
              <w:t>1:1:2:2:4</w:t>
            </w:r>
          </w:p>
        </w:tc>
        <w:tc>
          <w:tcPr>
            <w:tcW w:type="dxa" w:w="1058"/>
          </w:tcPr>
          <w:p>
            <w:pPr>
              <w:autoSpaceDE w:val="0"/>
              <w:autoSpaceDN w:val="0"/>
              <w:jc w:val="right"/>
            </w:pPr>
            <w:r/>
            <w:r>
              <w:rPr>
                <w:b w:val="0"/>
                <w:sz w:val="17"/>
              </w:rPr>
              <w:t>19.93%</w:t>
            </w:r>
          </w:p>
        </w:tc>
        <w:tc>
          <w:tcPr>
            <w:tcW w:type="dxa" w:w="1058"/>
          </w:tcPr>
          <w:p>
            <w:pPr>
              <w:autoSpaceDE w:val="0"/>
              <w:autoSpaceDN w:val="0"/>
              <w:jc w:val="right"/>
            </w:pPr>
            <w:r/>
            <w:r>
              <w:rPr>
                <w:b w:val="0"/>
                <w:sz w:val="17"/>
              </w:rPr>
              <w:t>12,243.3</w:t>
            </w:r>
          </w:p>
        </w:tc>
        <w:tc>
          <w:tcPr>
            <w:tcW w:type="dxa" w:w="1058"/>
          </w:tcPr>
          <w:p>
            <w:pPr>
              <w:autoSpaceDE w:val="0"/>
              <w:autoSpaceDN w:val="0"/>
              <w:jc w:val="right"/>
            </w:pPr>
            <w:r/>
            <w:r>
              <w:rPr>
                <w:b w:val="0"/>
                <w:sz w:val="17"/>
              </w:rPr>
              <w:t>64.92%</w:t>
            </w:r>
          </w:p>
        </w:tc>
        <w:tc>
          <w:tcPr>
            <w:tcW w:type="dxa" w:w="1058"/>
          </w:tcPr>
          <w:p>
            <w:pPr>
              <w:autoSpaceDE w:val="0"/>
              <w:autoSpaceDN w:val="0"/>
              <w:jc w:val="right"/>
            </w:pPr>
            <w:r/>
            <w:r>
              <w:rPr>
                <w:b w:val="0"/>
                <w:sz w:val="17"/>
              </w:rPr>
              <w:t>0</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0.23%p</w:t>
            </w:r>
          </w:p>
        </w:tc>
        <w:tc>
          <w:tcPr>
            <w:tcW w:type="dxa" w:w="1058"/>
          </w:tcPr>
          <w:p>
            <w:pPr>
              <w:autoSpaceDE w:val="0"/>
              <w:autoSpaceDN w:val="0"/>
            </w:pPr>
            <w:r/>
            <w:r>
              <w:rPr>
                <w:b w:val="0"/>
                <w:sz w:val="17"/>
              </w:rPr>
              <w:t>0.98%p</w:t>
            </w:r>
          </w:p>
        </w:tc>
        <w:tc>
          <w:tcPr>
            <w:tcW w:type="dxa" w:w="1058"/>
          </w:tcPr>
          <w:p>
            <w:pPr>
              <w:autoSpaceDE w:val="0"/>
              <w:autoSpaceDN w:val="0"/>
              <w:jc w:val="right"/>
            </w:pPr>
            <w:r/>
            <w:r>
              <w:rPr>
                <w:b w:val="0"/>
                <w:sz w:val="17"/>
              </w:rPr>
              <w:t>0.23배</w:t>
            </w:r>
          </w:p>
        </w:tc>
      </w:tr>
      <w:tr>
        <w:tc>
          <w:tcPr>
            <w:tcW w:type="dxa" w:w="1058"/>
          </w:tcPr>
          <w:p>
            <w:pPr>
              <w:autoSpaceDE w:val="0"/>
              <w:autoSpaceDN w:val="0"/>
            </w:pPr>
            <w:r/>
            <w:r>
              <w:rPr>
                <w:b w:val="0"/>
                <w:sz w:val="17"/>
              </w:rPr>
              <w:t>2:2:2:2:2</w:t>
            </w:r>
          </w:p>
        </w:tc>
        <w:tc>
          <w:tcPr>
            <w:tcW w:type="dxa" w:w="1058"/>
          </w:tcPr>
          <w:p>
            <w:pPr>
              <w:autoSpaceDE w:val="0"/>
              <w:autoSpaceDN w:val="0"/>
              <w:jc w:val="right"/>
            </w:pPr>
            <w:r/>
            <w:r>
              <w:rPr>
                <w:b w:val="0"/>
                <w:sz w:val="17"/>
              </w:rPr>
              <w:t>39.92%</w:t>
            </w:r>
          </w:p>
        </w:tc>
        <w:tc>
          <w:tcPr>
            <w:tcW w:type="dxa" w:w="1058"/>
          </w:tcPr>
          <w:p>
            <w:pPr>
              <w:autoSpaceDE w:val="0"/>
              <w:autoSpaceDN w:val="0"/>
              <w:jc w:val="right"/>
            </w:pPr>
            <w:r/>
            <w:r>
              <w:rPr>
                <w:b w:val="0"/>
                <w:sz w:val="17"/>
              </w:rPr>
              <w:t>23,914.7</w:t>
            </w:r>
          </w:p>
        </w:tc>
        <w:tc>
          <w:tcPr>
            <w:tcW w:type="dxa" w:w="1058"/>
          </w:tcPr>
          <w:p>
            <w:pPr>
              <w:autoSpaceDE w:val="0"/>
              <w:autoSpaceDN w:val="0"/>
              <w:jc w:val="right"/>
            </w:pPr>
            <w:r/>
            <w:r>
              <w:rPr>
                <w:b w:val="0"/>
                <w:sz w:val="17"/>
              </w:rPr>
              <w:t>63.42%</w:t>
            </w:r>
          </w:p>
        </w:tc>
        <w:tc>
          <w:tcPr>
            <w:tcW w:type="dxa" w:w="1058"/>
          </w:tcPr>
          <w:p>
            <w:pPr>
              <w:autoSpaceDE w:val="0"/>
              <w:autoSpaceDN w:val="0"/>
              <w:jc w:val="right"/>
            </w:pPr>
            <w:r/>
            <w:r>
              <w:rPr>
                <w:b w:val="0"/>
                <w:sz w:val="17"/>
              </w:rPr>
              <w:t>173</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1.52%p</w:t>
            </w:r>
          </w:p>
        </w:tc>
        <w:tc>
          <w:tcPr>
            <w:tcW w:type="dxa" w:w="1058"/>
          </w:tcPr>
          <w:p>
            <w:pPr>
              <w:autoSpaceDE w:val="0"/>
              <w:autoSpaceDN w:val="0"/>
            </w:pPr>
            <w:r/>
            <w:r>
              <w:rPr>
                <w:b w:val="0"/>
                <w:sz w:val="17"/>
              </w:rPr>
              <w:t>0.62%p</w:t>
            </w:r>
          </w:p>
        </w:tc>
        <w:tc>
          <w:tcPr>
            <w:tcW w:type="dxa" w:w="1058"/>
          </w:tcPr>
          <w:p>
            <w:pPr>
              <w:autoSpaceDE w:val="0"/>
              <w:autoSpaceDN w:val="0"/>
              <w:jc w:val="right"/>
            </w:pPr>
            <w:r/>
            <w:r>
              <w:rPr>
                <w:b w:val="0"/>
                <w:sz w:val="17"/>
              </w:rPr>
              <w:t>2.45배</w:t>
            </w:r>
          </w:p>
        </w:tc>
      </w:tr>
      <w:tr>
        <w:tc>
          <w:tcPr>
            <w:tcW w:type="dxa" w:w="1058"/>
          </w:tcPr>
          <w:p>
            <w:pPr>
              <w:autoSpaceDE w:val="0"/>
              <w:autoSpaceDN w:val="0"/>
            </w:pPr>
            <w:r/>
            <w:r>
              <w:rPr>
                <w:b w:val="0"/>
                <w:sz w:val="17"/>
              </w:rPr>
              <w:t>3:1:1:2:3 (본편)</w:t>
            </w:r>
          </w:p>
        </w:tc>
        <w:tc>
          <w:tcPr>
            <w:tcW w:type="dxa" w:w="1058"/>
          </w:tcPr>
          <w:p>
            <w:pPr>
              <w:autoSpaceDE w:val="0"/>
              <w:autoSpaceDN w:val="0"/>
              <w:jc w:val="right"/>
            </w:pPr>
            <w:r/>
            <w:r>
              <w:rPr>
                <w:b w:val="0"/>
                <w:sz w:val="17"/>
              </w:rPr>
              <w:t>39.92%</w:t>
            </w:r>
          </w:p>
        </w:tc>
        <w:tc>
          <w:tcPr>
            <w:tcW w:type="dxa" w:w="1058"/>
          </w:tcPr>
          <w:p>
            <w:pPr>
              <w:autoSpaceDE w:val="0"/>
              <w:autoSpaceDN w:val="0"/>
              <w:jc w:val="right"/>
            </w:pPr>
            <w:r/>
            <w:r>
              <w:rPr>
                <w:b w:val="0"/>
                <w:sz w:val="17"/>
              </w:rPr>
              <w:t>29,225.6</w:t>
            </w:r>
          </w:p>
        </w:tc>
        <w:tc>
          <w:tcPr>
            <w:tcW w:type="dxa" w:w="1058"/>
          </w:tcPr>
          <w:p>
            <w:pPr>
              <w:autoSpaceDE w:val="0"/>
              <w:autoSpaceDN w:val="0"/>
              <w:jc w:val="right"/>
            </w:pPr>
            <w:r/>
            <w:r>
              <w:rPr>
                <w:b w:val="0"/>
                <w:sz w:val="17"/>
              </w:rPr>
              <w:t>63.03%</w:t>
            </w:r>
          </w:p>
        </w:tc>
        <w:tc>
          <w:tcPr>
            <w:tcW w:type="dxa" w:w="1058"/>
          </w:tcPr>
          <w:p>
            <w:pPr>
              <w:autoSpaceDE w:val="0"/>
              <w:autoSpaceDN w:val="0"/>
              <w:jc w:val="right"/>
            </w:pPr>
            <w:r/>
            <w:r>
              <w:rPr>
                <w:b w:val="0"/>
                <w:sz w:val="17"/>
              </w:rPr>
              <w:t>227</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2.90%p</w:t>
            </w:r>
          </w:p>
        </w:tc>
        <w:tc>
          <w:tcPr>
            <w:tcW w:type="dxa" w:w="1058"/>
          </w:tcPr>
          <w:p>
            <w:pPr>
              <w:autoSpaceDE w:val="0"/>
              <w:autoSpaceDN w:val="0"/>
            </w:pPr>
            <w:r/>
            <w:r>
              <w:rPr>
                <w:b w:val="0"/>
                <w:sz w:val="17"/>
              </w:rPr>
              <w:t>0.61%p</w:t>
            </w:r>
          </w:p>
        </w:tc>
        <w:tc>
          <w:tcPr>
            <w:tcW w:type="dxa" w:w="1058"/>
          </w:tcPr>
          <w:p>
            <w:pPr>
              <w:autoSpaceDE w:val="0"/>
              <w:autoSpaceDN w:val="0"/>
              <w:jc w:val="right"/>
            </w:pPr>
            <w:r/>
            <w:r>
              <w:rPr>
                <w:b w:val="0"/>
                <w:sz w:val="17"/>
              </w:rPr>
              <w:t>4.76배</w:t>
            </w:r>
          </w:p>
        </w:tc>
      </w:tr>
      <w:tr>
        <w:tc>
          <w:tcPr>
            <w:tcW w:type="dxa" w:w="1058"/>
          </w:tcPr>
          <w:p>
            <w:pPr>
              <w:autoSpaceDE w:val="0"/>
              <w:autoSpaceDN w:val="0"/>
            </w:pPr>
            <w:r/>
            <w:r>
              <w:rPr>
                <w:b w:val="0"/>
                <w:sz w:val="17"/>
              </w:rPr>
              <w:t>3:2:1:1:3</w:t>
            </w:r>
          </w:p>
        </w:tc>
        <w:tc>
          <w:tcPr>
            <w:tcW w:type="dxa" w:w="1058"/>
          </w:tcPr>
          <w:p>
            <w:pPr>
              <w:autoSpaceDE w:val="0"/>
              <w:autoSpaceDN w:val="0"/>
              <w:jc w:val="right"/>
            </w:pPr>
            <w:r/>
            <w:r>
              <w:rPr>
                <w:b w:val="0"/>
                <w:sz w:val="17"/>
              </w:rPr>
              <w:t>49.96%</w:t>
            </w:r>
          </w:p>
        </w:tc>
        <w:tc>
          <w:tcPr>
            <w:tcW w:type="dxa" w:w="1058"/>
          </w:tcPr>
          <w:p>
            <w:pPr>
              <w:autoSpaceDE w:val="0"/>
              <w:autoSpaceDN w:val="0"/>
              <w:jc w:val="right"/>
            </w:pPr>
            <w:r/>
            <w:r>
              <w:rPr>
                <w:b w:val="0"/>
                <w:sz w:val="17"/>
              </w:rPr>
              <w:t>32,311.4</w:t>
            </w:r>
          </w:p>
        </w:tc>
        <w:tc>
          <w:tcPr>
            <w:tcW w:type="dxa" w:w="1058"/>
          </w:tcPr>
          <w:p>
            <w:pPr>
              <w:autoSpaceDE w:val="0"/>
              <w:autoSpaceDN w:val="0"/>
              <w:jc w:val="right"/>
            </w:pPr>
            <w:r/>
            <w:r>
              <w:rPr>
                <w:b w:val="0"/>
                <w:sz w:val="17"/>
              </w:rPr>
              <w:t>62.31%</w:t>
            </w:r>
          </w:p>
        </w:tc>
        <w:tc>
          <w:tcPr>
            <w:tcW w:type="dxa" w:w="1058"/>
          </w:tcPr>
          <w:p>
            <w:pPr>
              <w:autoSpaceDE w:val="0"/>
              <w:autoSpaceDN w:val="0"/>
              <w:jc w:val="right"/>
            </w:pPr>
            <w:r/>
            <w:r>
              <w:rPr>
                <w:b w:val="0"/>
                <w:sz w:val="17"/>
              </w:rPr>
              <w:t>631</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2.95%p</w:t>
            </w:r>
          </w:p>
        </w:tc>
        <w:tc>
          <w:tcPr>
            <w:tcW w:type="dxa" w:w="1058"/>
          </w:tcPr>
          <w:p>
            <w:pPr>
              <w:autoSpaceDE w:val="0"/>
              <w:autoSpaceDN w:val="0"/>
            </w:pPr>
            <w:r/>
            <w:r>
              <w:rPr>
                <w:b w:val="0"/>
                <w:sz w:val="17"/>
              </w:rPr>
              <w:t>0.65%p</w:t>
            </w:r>
          </w:p>
        </w:tc>
        <w:tc>
          <w:tcPr>
            <w:tcW w:type="dxa" w:w="1058"/>
          </w:tcPr>
          <w:p>
            <w:pPr>
              <w:autoSpaceDE w:val="0"/>
              <w:autoSpaceDN w:val="0"/>
              <w:jc w:val="right"/>
            </w:pPr>
            <w:r/>
            <w:r>
              <w:rPr>
                <w:b w:val="0"/>
                <w:sz w:val="17"/>
              </w:rPr>
              <w:t>4.53배</w:t>
            </w:r>
          </w:p>
        </w:tc>
      </w:tr>
      <w:tr>
        <w:tc>
          <w:tcPr>
            <w:tcW w:type="dxa" w:w="1058"/>
          </w:tcPr>
          <w:p>
            <w:pPr>
              <w:autoSpaceDE w:val="0"/>
              <w:autoSpaceDN w:val="0"/>
            </w:pPr>
            <w:r/>
            <w:r>
              <w:rPr>
                <w:b w:val="0"/>
                <w:sz w:val="17"/>
              </w:rPr>
              <w:t>4:3:1:1:1</w:t>
            </w:r>
          </w:p>
        </w:tc>
        <w:tc>
          <w:tcPr>
            <w:tcW w:type="dxa" w:w="1058"/>
          </w:tcPr>
          <w:p>
            <w:pPr>
              <w:autoSpaceDE w:val="0"/>
              <w:autoSpaceDN w:val="0"/>
              <w:jc w:val="right"/>
            </w:pPr>
            <w:r/>
            <w:r>
              <w:rPr>
                <w:b w:val="0"/>
                <w:sz w:val="17"/>
              </w:rPr>
              <w:t>70.08%</w:t>
            </w:r>
          </w:p>
        </w:tc>
        <w:tc>
          <w:tcPr>
            <w:tcW w:type="dxa" w:w="1058"/>
          </w:tcPr>
          <w:p>
            <w:pPr>
              <w:autoSpaceDE w:val="0"/>
              <w:autoSpaceDN w:val="0"/>
              <w:jc w:val="right"/>
            </w:pPr>
            <w:r/>
            <w:r>
              <w:rPr>
                <w:b w:val="0"/>
                <w:sz w:val="17"/>
              </w:rPr>
              <w:t>43,912.3</w:t>
            </w:r>
          </w:p>
        </w:tc>
        <w:tc>
          <w:tcPr>
            <w:tcW w:type="dxa" w:w="1058"/>
          </w:tcPr>
          <w:p>
            <w:pPr>
              <w:autoSpaceDE w:val="0"/>
              <w:autoSpaceDN w:val="0"/>
              <w:jc w:val="right"/>
            </w:pPr>
            <w:r/>
            <w:r>
              <w:rPr>
                <w:b w:val="0"/>
                <w:sz w:val="17"/>
              </w:rPr>
              <w:t>58.30%</w:t>
            </w:r>
          </w:p>
        </w:tc>
        <w:tc>
          <w:tcPr>
            <w:tcW w:type="dxa" w:w="1058"/>
          </w:tcPr>
          <w:p>
            <w:pPr>
              <w:autoSpaceDE w:val="0"/>
              <w:autoSpaceDN w:val="0"/>
              <w:jc w:val="right"/>
            </w:pPr>
            <w:r/>
            <w:r>
              <w:rPr>
                <w:b w:val="0"/>
                <w:sz w:val="17"/>
              </w:rPr>
              <w:t>3,643</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3.85%p</w:t>
            </w:r>
          </w:p>
        </w:tc>
        <w:tc>
          <w:tcPr>
            <w:tcW w:type="dxa" w:w="1058"/>
          </w:tcPr>
          <w:p>
            <w:pPr>
              <w:autoSpaceDE w:val="0"/>
              <w:autoSpaceDN w:val="0"/>
            </w:pPr>
            <w:r/>
            <w:r>
              <w:rPr>
                <w:b w:val="0"/>
                <w:sz w:val="17"/>
              </w:rPr>
              <w:t>0.82%p</w:t>
            </w:r>
          </w:p>
        </w:tc>
        <w:tc>
          <w:tcPr>
            <w:tcW w:type="dxa" w:w="1058"/>
          </w:tcPr>
          <w:p>
            <w:pPr>
              <w:autoSpaceDE w:val="0"/>
              <w:autoSpaceDN w:val="0"/>
              <w:jc w:val="right"/>
            </w:pPr>
            <w:r/>
            <w:r>
              <w:rPr>
                <w:b w:val="0"/>
                <w:sz w:val="17"/>
              </w:rPr>
              <w:t>4.72배</w:t>
            </w:r>
          </w:p>
        </w:tc>
      </w:tr>
      <w:tr>
        <w:tc>
          <w:tcPr>
            <w:tcW w:type="dxa" w:w="1058"/>
          </w:tcPr>
          <w:p>
            <w:pPr>
              <w:autoSpaceDE w:val="0"/>
              <w:autoSpaceDN w:val="0"/>
            </w:pPr>
            <w:r/>
            <w:r>
              <w:rPr>
                <w:b w:val="0"/>
                <w:sz w:val="17"/>
              </w:rPr>
              <w:t>5:4:1:0:0</w:t>
            </w:r>
          </w:p>
        </w:tc>
        <w:tc>
          <w:tcPr>
            <w:tcW w:type="dxa" w:w="1058"/>
          </w:tcPr>
          <w:p>
            <w:pPr>
              <w:autoSpaceDE w:val="0"/>
              <w:autoSpaceDN w:val="0"/>
              <w:jc w:val="right"/>
            </w:pPr>
            <w:r/>
            <w:r>
              <w:rPr>
                <w:b w:val="0"/>
                <w:sz w:val="17"/>
              </w:rPr>
              <w:t>90.10%</w:t>
            </w:r>
          </w:p>
        </w:tc>
        <w:tc>
          <w:tcPr>
            <w:tcW w:type="dxa" w:w="1058"/>
          </w:tcPr>
          <w:p>
            <w:pPr>
              <w:autoSpaceDE w:val="0"/>
              <w:autoSpaceDN w:val="0"/>
              <w:jc w:val="right"/>
            </w:pPr>
            <w:r/>
            <w:r>
              <w:rPr>
                <w:b w:val="0"/>
                <w:sz w:val="17"/>
              </w:rPr>
              <w:t>55,654.8</w:t>
            </w:r>
          </w:p>
        </w:tc>
        <w:tc>
          <w:tcPr>
            <w:tcW w:type="dxa" w:w="1058"/>
          </w:tcPr>
          <w:p>
            <w:pPr>
              <w:autoSpaceDE w:val="0"/>
              <w:autoSpaceDN w:val="0"/>
              <w:jc w:val="right"/>
            </w:pPr>
            <w:r/>
            <w:r>
              <w:rPr>
                <w:b w:val="0"/>
                <w:sz w:val="17"/>
              </w:rPr>
              <w:t>58.82%</w:t>
            </w:r>
          </w:p>
        </w:tc>
        <w:tc>
          <w:tcPr>
            <w:tcW w:type="dxa" w:w="1058"/>
          </w:tcPr>
          <w:p>
            <w:pPr>
              <w:autoSpaceDE w:val="0"/>
              <w:autoSpaceDN w:val="0"/>
              <w:jc w:val="right"/>
            </w:pPr>
            <w:r/>
            <w:r>
              <w:rPr>
                <w:b w:val="0"/>
                <w:sz w:val="17"/>
              </w:rPr>
              <w:t>28,828</w:t>
            </w:r>
          </w:p>
        </w:tc>
        <w:tc>
          <w:tcPr>
            <w:tcW w:type="dxa" w:w="1058"/>
          </w:tcPr>
          <w:p>
            <w:pPr>
              <w:autoSpaceDE w:val="0"/>
              <w:autoSpaceDN w:val="0"/>
              <w:jc w:val="right"/>
            </w:pPr>
            <w:r/>
            <w:r>
              <w:rPr>
                <w:b w:val="0"/>
                <w:sz w:val="17"/>
              </w:rPr>
              <w:t>0</w:t>
            </w:r>
          </w:p>
        </w:tc>
        <w:tc>
          <w:tcPr>
            <w:tcW w:type="dxa" w:w="1058"/>
          </w:tcPr>
          <w:p>
            <w:pPr>
              <w:autoSpaceDE w:val="0"/>
              <w:autoSpaceDN w:val="0"/>
            </w:pPr>
            <w:r/>
            <w:r>
              <w:rPr>
                <w:b w:val="0"/>
                <w:sz w:val="17"/>
              </w:rPr>
              <w:t>4.41%p</w:t>
            </w:r>
          </w:p>
        </w:tc>
        <w:tc>
          <w:tcPr>
            <w:tcW w:type="dxa" w:w="1058"/>
          </w:tcPr>
          <w:p>
            <w:pPr>
              <w:autoSpaceDE w:val="0"/>
              <w:autoSpaceDN w:val="0"/>
            </w:pPr>
            <w:r/>
            <w:r>
              <w:rPr>
                <w:b w:val="0"/>
                <w:sz w:val="17"/>
              </w:rPr>
              <w:t>0.72%p</w:t>
            </w:r>
          </w:p>
        </w:tc>
        <w:tc>
          <w:tcPr>
            <w:tcW w:type="dxa" w:w="1058"/>
          </w:tcPr>
          <w:p>
            <w:pPr>
              <w:autoSpaceDE w:val="0"/>
              <w:autoSpaceDN w:val="0"/>
              <w:jc w:val="right"/>
            </w:pPr>
            <w:r/>
            <w:r>
              <w:rPr>
                <w:b w:val="0"/>
                <w:sz w:val="17"/>
              </w:rPr>
              <w:t>6.14배</w:t>
            </w:r>
          </w:p>
        </w:tc>
      </w:tr>
    </w:tbl>
    <w:p/>
    <w:p>
      <w:pPr>
        <w:autoSpaceDE w:val="0"/>
        <w:autoSpaceDN w:val="0"/>
        <w:spacing w:before="120" w:after="40"/>
        <w:jc w:val="center"/>
      </w:pPr>
      <w:r>
        <w:rPr>
          <w:b/>
          <w:sz w:val="17"/>
        </w:rPr>
        <w:t>표 S8. 지연 등급 분포를 바꾸어 전체 파이프라인을 다시 돌린 결과</w:t>
      </w:r>
    </w:p>
    <w:p>
      <w:pPr>
        <w:autoSpaceDE w:val="0"/>
        <w:autoSpaceDN w:val="0"/>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autoSpaceDE w:val="0"/>
        <w:autoSpaceDN w:val="0"/>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autoSpaceDE w:val="0"/>
        <w:autoSpaceDN w:val="0"/>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autoSpaceDE w:val="0"/>
        <w:autoSpaceDN w:val="0"/>
        <w:pStyle w:val="Heading1"/>
      </w:pPr>
      <w:r>
        <w:rPr>
          <w:rFonts w:ascii="맑은 고딕" w:hAnsi="맑은 고딕"/>
        </w:rPr>
        <w:t>A.7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A.8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A.9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A.10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A.10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S13.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S14.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r>
        <w:tc>
          <w:tcPr>
            <w:tcW w:type="dxa" w:w="1904"/>
          </w:tcPr>
          <w:p>
            <w:pPr>
              <w:autoSpaceDE w:val="0"/>
              <w:autoSpaceDN w:val="0"/>
            </w:pPr>
            <w:r/>
            <w:r>
              <w:rPr>
                <w:b w:val="0"/>
                <w:sz w:val="17"/>
              </w:rPr>
              <w:t>Caspian (분수)</w:t>
            </w:r>
          </w:p>
        </w:tc>
        <w:tc>
          <w:tcPr>
            <w:tcW w:type="dxa" w:w="1904"/>
          </w:tcPr>
          <w:p>
            <w:pPr>
              <w:autoSpaceDE w:val="0"/>
              <w:autoSpaceDN w:val="0"/>
              <w:jc w:val="right"/>
            </w:pPr>
            <w:r/>
            <w:r>
              <w:rPr>
                <w:b w:val="0"/>
                <w:sz w:val="17"/>
              </w:rPr>
              <w:t>20,308.4 kg</w:t>
            </w:r>
          </w:p>
        </w:tc>
        <w:tc>
          <w:tcPr>
            <w:tcW w:type="dxa" w:w="1904"/>
          </w:tcPr>
          <w:p>
            <w:pPr>
              <w:autoSpaceDE w:val="0"/>
              <w:autoSpaceDN w:val="0"/>
              <w:jc w:val="right"/>
            </w:pPr>
            <w:r/>
            <w:r>
              <w:rPr>
                <w:b w:val="0"/>
                <w:sz w:val="17"/>
              </w:rPr>
              <w:t>20,335.4 kg</w:t>
            </w:r>
          </w:p>
        </w:tc>
        <w:tc>
          <w:tcPr>
            <w:tcW w:type="dxa" w:w="1904"/>
          </w:tcPr>
          <w:p>
            <w:pPr>
              <w:autoSpaceDE w:val="0"/>
              <w:autoSpaceDN w:val="0"/>
            </w:pPr>
            <w:r/>
            <w:r>
              <w:rPr>
                <w:b w:val="0"/>
                <w:sz w:val="17"/>
              </w:rPr>
              <w:t>+0.133%</w:t>
            </w:r>
          </w:p>
        </w:tc>
        <w:tc>
          <w:tcPr>
            <w:tcW w:type="dxa" w:w="1904"/>
          </w:tcPr>
          <w:p>
            <w:pPr>
              <w:autoSpaceDE w:val="0"/>
              <w:autoSpaceDN w:val="0"/>
            </w:pPr>
            <w:r/>
            <w:r>
              <w:rPr>
                <w:b w:val="0"/>
                <w:sz w:val="17"/>
              </w:rPr>
              <w:t>−0.092%p</w:t>
            </w:r>
          </w:p>
        </w:tc>
      </w:tr>
    </w:tbl>
    <w:p/>
    <w:p>
      <w:pPr>
        <w:autoSpaceDE w:val="0"/>
        <w:autoSpaceDN w:val="0"/>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