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3장은 각 식이 무엇을 뜻하는지만 밝히고 넘어간다. 그 세부를 여기에 전부 편다 — 본편을 펴 놓지 않아도 이 절만으로 다시 구현할 수 있도록 표기·식·의사코드·파라미터·구현 위치를 한자리에 두었다. 식 번호는 본편과 같으며 식 (1)~(15)가 빠짐없이 들어 있다. 뒤의 A.3~A.6 은 같은 형태로 선행 정책의 원문 정식화를 옮긴 것이므로, 두 쪽을 나란히 놓고 견주어 볼 수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rPr>
          <w:cantSplit/>
        </w:trP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rPr>
          <w:cantSplit/>
        </w:trP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rPr>
          <w:cantSplit/>
        </w:trP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rPr>
          <w:cantSplit/>
        </w:trP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rPr>
          <w:cantSplit/>
        </w:trP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rPr>
          <w:cantSplit/>
        </w:trP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rPr>
          <w:cantSplit/>
        </w:trPr>
        <w:tc>
          <w:tcPr>
            <w:tcW w:type="dxa" w:w="3173"/>
          </w:tcPr>
          <w:p>
            <w:r/>
            <w:r>
              <w:rPr>
                <w:b w:val="0"/>
                <w:sz w:val="17"/>
              </w:rPr>
              <w:t>Ĉ(t)</w:t>
            </w:r>
          </w:p>
        </w:tc>
        <w:tc>
          <w:tcPr>
            <w:tcW w:type="dxa" w:w="3173"/>
          </w:tcPr>
          <w:p>
            <w:r/>
            <w:r>
              <w:rPr>
                <w:b w:val="0"/>
                <w:sz w:val="17"/>
              </w:rPr>
              <w:t>실행 구간 동안의 예측 평균 (모자 = 예측)</w:t>
            </w:r>
          </w:p>
        </w:tc>
        <w:tc>
          <w:tcPr>
            <w:tcW w:type="dxa" w:w="3173"/>
          </w:tcPr>
          <w:p>
            <w:r/>
            <w:r>
              <w:rPr>
                <w:b w:val="0"/>
                <w:sz w:val="17"/>
              </w:rPr>
              <w:t>식 (10)의 분자</w:t>
            </w:r>
          </w:p>
        </w:tc>
      </w:tr>
      <w:tr>
        <w:trPr>
          <w:cantSplit/>
        </w:trP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Ĉ(t)를 후보 집합 안에서 0–1, 식 (10)</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rPr>
          <w:cantSplit/>
        </w:trP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rPr>
          <w:cantSplit/>
        </w:trP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A.9 의 스윕이 다룬다.</w:t>
      </w:r>
    </w:p>
    <w:p>
      <w:pPr>
        <w:pStyle w:val="Heading2"/>
      </w:pPr>
      <w:r>
        <w:rPr>
          <w:rFonts w:ascii="맑은 고딕" w:hAnsi="맑은 고딕"/>
        </w:rPr>
        <w:t>A.1.2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A.1.3 과 A.1.5 다. 두 단계로 쪼갠 결과가 원 문제의 최적해라는 보장은 없으며, 본 연구는 그 주장을 하지 않는다.</w:t>
      </w:r>
    </w:p>
    <w:p>
      <w:pPr>
        <w:pStyle w:val="Heading2"/>
      </w:pPr>
      <w:r>
        <w:rPr>
          <w:rFonts w:ascii="맑은 고딕" w:hAnsi="맑은 고딕"/>
        </w:rPr>
        <w:t>A.1.3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S3.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rPr>
          <w:cantSplit/>
        </w:trP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rPr>
          <w:cantSplit/>
        </w:trP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(Ĉ(t) − C_min)/(C_max − C_min),   D̄(t) = (t − t_early)/(t_late − t_early)</w:t>
      </w:r>
    </w:p>
    <w:p>
      <w:pPr>
        <w:spacing w:after="80"/>
        <w:ind w:left="340"/>
      </w:pPr>
      <w:r>
        <w:rPr>
          <w:rFonts w:ascii="Menlo" w:hAnsi="Menlo"/>
          <w:sz w:val="17"/>
        </w:rPr>
        <w:t>(11)  score(t) = α(k)·C̄(t) + (1−α(k))·D̄(t),   α(k) = (6 − k)/5</w:t>
      </w:r>
    </w:p>
    <w:p>
      <w:pPr>
        <w:jc w:val="both"/>
      </w:pPr>
      <w:r>
        <w:rPr>
          <w:i w:val="0"/>
          <w:sz w:val="20"/>
        </w:rPr>
        <w:t>Ĉ(t) 는 t 부터 실행 시간 동안의 예측 탄소집약도 평균이고, C̄(t) 는 그것을 후보 집합 안에서 0–1 로 정규화한 값이다.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S4.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rPr>
          <w:cantSplit/>
        </w:trP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rPr>
          <w:cantSplit/>
        </w:trP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rPr>
          <w:cantSplit/>
        </w:trP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rPr>
          <w:cantSplit/>
        </w:trP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rPr>
          <w:cantSplit/>
        </w:trP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rPr>
          <w:cantSplit/>
        </w:trP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rPr>
          <w:cantSplit/>
        </w:trP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rPr>
          <w:cantSplit/>
        </w:trP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rPr>
          <w:cantSplit/>
        </w:trP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A.9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S5.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S6.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S7.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rPr>
          <w:cantSplit/>
        </w:trP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rPr>
          <w:cantSplit/>
        </w:trP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rPr>
          <w:cantSplit/>
        </w:trP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S8.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rPr>
          <w:cantSplit/>
        </w:trP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rPr>
          <w:cantSplit/>
        </w:trP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rPr>
          <w:cantSplit/>
        </w:trP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rPr>
          <w:cantSplit/>
        </w:trP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rPr>
          <w:cantSplit/>
        </w:trP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S9. 식에 안 나오는 재현 파라미터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rPr>
          <w:cantSplit/>
        </w:trP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rPr>
          <w:cantSplit/>
        </w:trP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rPr>
          <w:cantSplit/>
        </w:trP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rPr>
          <w:cantSplit/>
        </w:trP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rPr>
          <w:cantSplit/>
        </w:trP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rPr>
          <w:cantSplit/>
        </w:trP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rPr>
          <w:cantSplit/>
        </w:trP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rPr>
          <w:cantSplit/>
        </w:trP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rPr>
          <w:cantSplit/>
        </w:trP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rPr>
          <w:cantSplit/>
        </w:trP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rPr>
          <w:cantSplit/>
        </w:trP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A.9 이다 — 무엇이 분포에 견디고 무엇이 견디지 못하는지를 그 절에서 나눈다.</w:t>
      </w:r>
    </w:p>
    <w:p>
      <w:pPr>
        <w:pStyle w:val="Heading2"/>
      </w:pPr>
      <w:r>
        <w:rPr>
          <w:rFonts w:ascii="맑은 고딕" w:hAnsi="맑은 고딕"/>
        </w:rPr>
        <w:t>A.1.8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A.1.6 의 표 S7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S10.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S11.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S12.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S13.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rPr>
          <w:cantSplit/>
        </w:trP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S14.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S15.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대조했고(A.3~A.5), 결과가 원문이 보고한 현상과 같은 방향인지 확인했으며(Sukprasert 의 한 리전 쏠림, CASPER 의 제약 비활성), 네 재현이 모두 같은 채점 함수를 통과하는지 확인했다(A.2).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S16.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S18.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S19.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S20.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