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62.94%를 줄였으며 마감 위반은 없었다. 무릎점 자동 선택은 가중치 고정(알파=0.5) 대비 지연 6.7ms만 더 쓰고 탄소는 10.64%포인트 더 줄인다. 다만 리전별 용량 제한을 지키면 시간 이동의 몫은 이론상 9.07%포인트에서 6.09%포인트로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62.94%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6.09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 xml:space="preserve">1년치 실측 탄소집약도 데이터를 사용한 시뮬레이션에서 총 배출량이 62.94%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2555F655" w14:textId="77777777" w:rsidR="00CA0C2E" w:rsidRDefault="00CA0C2E" w:rsidP="00724B75">
      <w:pPr>
        <w:jc w:val="left"/>
      </w:pPr>
    </w:p>
    <w:p w14:paraId="6DD7D073" w14:textId="77777777" w:rsidR="00CA0C2E" w:rsidRDefault="00000000" w:rsidP="00724B75">
      <w:pPr>
        <w:jc w:val="left"/>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left"/>
      </w:pPr>
    </w:p>
    <w:p w14:paraId="107EBCB6" w14:textId="77777777" w:rsidR="00CA0C2E" w:rsidRDefault="00000000" w:rsidP="00724B75">
      <w:pPr>
        <w:jc w:val="left"/>
      </w:pPr>
      <w:r>
        <w:t xml:space="preserve">그림 1은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left"/>
      </w:pPr>
    </w:p>
    <w:p w14:paraId="FB000002" w14:textId="77777777" w:rsidR="00CA0C2E" w:rsidRDefault="00000000" w:rsidP="00724B75">
      <w:pPr>
        <w:jc w:val="left"/>
      </w:pPr>
      <w:r>
        <w:rPr>
          <w:noProof/>
        </w:rPr>
        <w:drawing>
          <wp:anchor distT="0" distB="0" distL="114300" distR="114300" simplePos="0" relativeHeight="2" behindDoc="0" locked="0" layoutInCell="1" allowOverlap="1">
            <wp:simplePos x="0" y="0"/>
            <wp:positionH relativeFrom="page">
              <wp:align>center</wp:align>
            </wp:positionH>
            <wp:positionV relativeFrom="paragraph">
              <wp:posOffset>0</wp:posOffset>
            </wp:positionV>
            <wp:extent cx="5727700" cy="2438400"/>
            <wp:effectExtent l="0" t="0" r="0" b="0"/>
            <wp:wrapTopAndBottom/>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5727700" cy="2438400"/>
                    </a:xfrm>
                    <a:prstGeom prst="rect">
                      <a:avLst/>
                    </a:prstGeom>
                  </pic:spPr>
                </pic:pic>
              </a:graphicData>
            </a:graphic>
          </wp:anchor>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left"/>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left"/>
      </w:pPr>
    </w:p>
    <w:p w14:paraId="FA000002" w14:textId="77777777" w:rsidR="00CA0C2E" w:rsidRDefault="00000000" w:rsidP="00724B75">
      <w:pPr>
        <w:jc w:val="left"/>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left"/>
      </w:pPr>
    </w:p>
    <w:p w14:paraId="FC000002" w14:textId="77777777" w:rsidR="00CA0C2E" w:rsidRDefault="00000000" w:rsidP="00724B75">
      <w:pPr>
        <w:jc w:val="left"/>
      </w:pPr>
      <w:r>
        <w:rPr>
          <w:noProof/>
        </w:rPr>
        <w:drawing>
          <wp:anchor distT="0" distB="0" distL="114300" distR="114300" simplePos="0" relativeHeight="3" behindDoc="0" locked="0" layoutInCell="1" allowOverlap="1">
            <wp:simplePos x="0" y="0"/>
            <wp:positionH relativeFrom="page">
              <wp:align>center</wp:align>
            </wp:positionH>
            <wp:positionV relativeFrom="paragraph">
              <wp:posOffset>0</wp:posOffset>
            </wp:positionV>
            <wp:extent cx="5727700" cy="2489200"/>
            <wp:effectExtent l="0" t="0" r="0" b="0"/>
            <wp:wrapTopAndBottom/>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5727700" cy="2489200"/>
                    </a:xfrm>
                    <a:prstGeom prst="rect">
                      <a:avLst/>
                    </a:prstGeom>
                  </pic:spPr>
                </pic:pic>
              </a:graphicData>
            </a:graphic>
          </wp:anchor>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left"/>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left"/>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left"/>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 대상 리전은 미국 3개(캘리포니아, 텍사스, 뉴욕), 유럽 2개(프랑스, 독일), 아시아 3개(한국, 일본, 인도)다.</w:t>
      </w:r>
    </w:p>
    <w:p w14:paraId="34623256" w14:textId="77777777" w:rsidR="00CA0C2E" w:rsidRDefault="00CA0C2E" w:rsidP="00724B75">
      <w:pPr>
        <w:jc w:val="left"/>
      </w:pPr>
    </w:p>
    <w:p w14:paraId="3631D699" w14:textId="77777777" w:rsidR="00CA0C2E" w:rsidRDefault="00000000" w:rsidP="00724B75">
      <w:pPr>
        <w:jc w:val="left"/>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CA0C2E" w:rsidRDefault="00000000" w:rsidP="00724B75">
      <w:pPr>
        <w:jc w:val="left"/>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left"/>
      </w:pPr>
    </w:p>
    <w:p w14:paraId="FD000002" w14:textId="77777777" w:rsidR="00CA0C2E" w:rsidRDefault="00000000" w:rsidP="00724B75">
      <w:pPr>
        <w:jc w:val="left"/>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19건까지 억제된다.</w:t>
      </w:r>
    </w:p>
    <w:p w14:paraId="FD000004" w14:textId="77777777" w:rsidR="00CA0C2E" w:rsidRDefault="00000000" w:rsidP="00724B75">
      <w:pPr>
        <w:jc w:val="left"/>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19건까지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rPr>
          <w:sz w:val="18"/>
          <w:szCs w:val="18"/>
        </w:rP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rPr>
          <w:sz w:val="18"/>
          <w:szCs w:val="18"/>
        </w:rPr>
        <w:t>표</w:t>
      </w:r>
      <w:r>
        <w:rPr>
          <w:sz w:val="18"/>
          <w:szCs w:val="18"/>
        </w:rPr>
        <w:t xml:space="preserve"> 6. </w:t>
      </w:r>
      <w:r>
        <w:rPr>
          <w:sz w:val="18"/>
          <w:szCs w:val="18"/>
        </w:rPr>
        <w:t>용량에</w:t>
      </w:r>
      <w:r>
        <w:rPr>
          <w:sz w:val="18"/>
          <w:szCs w:val="18"/>
        </w:rPr>
        <w:t xml:space="preserve"> </w:t>
      </w:r>
      <w:r>
        <w:rPr>
          <w:sz w:val="18"/>
          <w:szCs w:val="18"/>
        </w:rPr>
        <w:t>따른</w:t>
      </w:r>
      <w:r>
        <w:rPr>
          <w:sz w:val="18"/>
          <w:szCs w:val="18"/>
        </w:rPr>
        <w:t xml:space="preserve"> </w:t>
      </w:r>
      <w:r>
        <w:rPr>
          <w:sz w:val="18"/>
          <w:szCs w:val="18"/>
        </w:rPr>
        <w:t>리전별</w:t>
      </w:r>
      <w:r>
        <w:rPr>
          <w:sz w:val="18"/>
          <w:szCs w:val="18"/>
        </w:rPr>
        <w:t xml:space="preserve"> </w:t>
      </w:r>
      <w:r>
        <w:rPr>
          <w:sz w:val="18"/>
          <w:szCs w:val="18"/>
        </w:rPr>
        <w:t>배정</w:t>
      </w:r>
      <w:r>
        <w:rPr>
          <w:sz w:val="18"/>
          <w:szCs w:val="18"/>
        </w:rPr>
        <w:t xml:space="preserve"> </w:t>
      </w:r>
      <w:r>
        <w:rPr>
          <w:sz w:val="18"/>
          <w:szCs w:val="18"/>
        </w:rPr>
        <w:t>작업</w:t>
      </w:r>
      <w:r>
        <w:rPr>
          <w:sz w:val="18"/>
          <w:szCs w:val="18"/>
        </w:rPr>
        <w:t xml:space="preserve"> </w:t>
      </w:r>
      <w:r>
        <w:rPr>
          <w:sz w:val="18"/>
          <w:szCs w:val="18"/>
        </w:rP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6"/>
                <w:szCs w:val="16"/>
              </w:rPr>
            </w:pPr>
            <w:r w:rsidRPr="00FA591E">
              <w:rPr>
                <w:b/>
                <w:bCs/>
                <w:sz w:val="16"/>
                <w:szCs w:val="16"/>
              </w:rPr>
              <w:t>용량</w:t>
            </w:r>
          </w:p>
        </w:tc>
        <w:tc>
          <w:tcPr>
            <w:tcW w:w="1100" w:type="dxa"/>
            <w:tcBorders>
              <w:bottom w:val="single" w:sz="6" w:space="0" w:color="000000"/>
            </w:tcBorders>
          </w:tcPr>
          <w:p w14:paraId="6061B386" w14:textId="77777777" w:rsidR="004D20D1" w:rsidRPr="00FA591E" w:rsidRDefault="00000000">
            <w:pPr>
              <w:jc w:val="center"/>
              <w:rPr>
                <w:b/>
                <w:bCs/>
                <w:sz w:val="16"/>
                <w:szCs w:val="16"/>
              </w:rPr>
            </w:pPr>
            <w:r w:rsidRPr="00FA591E">
              <w:rPr>
                <w:b/>
                <w:bCs/>
                <w:sz w:val="16"/>
                <w:szCs w:val="16"/>
              </w:rPr>
              <w:t>프랑스</w:t>
            </w:r>
          </w:p>
        </w:tc>
        <w:tc>
          <w:tcPr>
            <w:tcW w:w="1150" w:type="dxa"/>
            <w:tcBorders>
              <w:bottom w:val="single" w:sz="6" w:space="0" w:color="000000"/>
            </w:tcBorders>
          </w:tcPr>
          <w:p w14:paraId="1F3115D1" w14:textId="77777777" w:rsidR="004D20D1" w:rsidRPr="00FA591E" w:rsidRDefault="00000000">
            <w:pPr>
              <w:jc w:val="center"/>
              <w:rPr>
                <w:b/>
                <w:bCs/>
                <w:sz w:val="16"/>
                <w:szCs w:val="16"/>
              </w:rPr>
            </w:pPr>
            <w:r w:rsidRPr="00FA591E">
              <w:rPr>
                <w:b/>
                <w:bCs/>
                <w:sz w:val="16"/>
                <w:szCs w:val="16"/>
              </w:rPr>
              <w:t>캘리포니아</w:t>
            </w:r>
          </w:p>
        </w:tc>
        <w:tc>
          <w:tcPr>
            <w:tcW w:w="1350" w:type="dxa"/>
            <w:tcBorders>
              <w:bottom w:val="single" w:sz="6" w:space="0" w:color="000000"/>
            </w:tcBorders>
          </w:tcPr>
          <w:p w14:paraId="391EA940" w14:textId="77777777" w:rsidR="004D20D1" w:rsidRPr="00FA591E" w:rsidRDefault="00000000">
            <w:pPr>
              <w:jc w:val="center"/>
              <w:rPr>
                <w:b/>
                <w:bCs/>
                <w:sz w:val="16"/>
                <w:szCs w:val="16"/>
              </w:rPr>
            </w:pPr>
            <w:r w:rsidRPr="00FA591E">
              <w:rPr>
                <w:b/>
                <w:bCs/>
                <w:sz w:val="16"/>
                <w:szCs w:val="16"/>
              </w:rPr>
              <w:t>나머지 6개 리전</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8</w:t>
            </w:r>
          </w:p>
        </w:tc>
        <w:tc>
          <w:tcPr>
            <w:tcW w:w="1100" w:type="dxa"/>
          </w:tcPr>
          <w:p w14:paraId="27516F85" w14:textId="77777777" w:rsidR="004D20D1" w:rsidRPr="00FA591E" w:rsidRDefault="00000000">
            <w:pPr>
              <w:jc w:val="right"/>
              <w:rPr>
                <w:sz w:val="16"/>
                <w:szCs w:val="16"/>
              </w:rPr>
            </w:pPr>
            <w:r w:rsidRPr="00FA591E">
              <w:rPr>
                <w:sz w:val="16"/>
                <w:szCs w:val="16"/>
              </w:rPr>
              <w:t>27,876</w:t>
            </w:r>
          </w:p>
        </w:tc>
        <w:tc>
          <w:tcPr>
            <w:tcW w:w="1150" w:type="dxa"/>
          </w:tcPr>
          <w:p w14:paraId="7A301708" w14:textId="77777777" w:rsidR="004D20D1" w:rsidRPr="00FA591E" w:rsidRDefault="00000000">
            <w:pPr>
              <w:jc w:val="right"/>
              <w:rPr>
                <w:sz w:val="16"/>
                <w:szCs w:val="16"/>
              </w:rPr>
            </w:pPr>
            <w:r w:rsidRPr="00FA591E">
              <w:rPr>
                <w:sz w:val="16"/>
                <w:szCs w:val="16"/>
              </w:rPr>
              <w:t>25,538</w:t>
            </w:r>
          </w:p>
        </w:tc>
        <w:tc>
          <w:tcPr>
            <w:tcW w:w="1350" w:type="dxa"/>
          </w:tcPr>
          <w:p w14:paraId="21F08651" w14:textId="77777777" w:rsidR="004D20D1" w:rsidRPr="00FA591E" w:rsidRDefault="00000000">
            <w:pPr>
              <w:jc w:val="right"/>
              <w:rPr>
                <w:sz w:val="16"/>
                <w:szCs w:val="16"/>
              </w:rPr>
            </w:pPr>
            <w:r w:rsidRPr="00FA591E">
              <w:rPr>
                <w:sz w:val="16"/>
                <w:szCs w:val="16"/>
              </w:rPr>
              <w:t>92,585</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16</w:t>
            </w:r>
          </w:p>
        </w:tc>
        <w:tc>
          <w:tcPr>
            <w:tcW w:w="1100" w:type="dxa"/>
          </w:tcPr>
          <w:p w14:paraId="27516F85" w14:textId="77777777" w:rsidR="004D20D1" w:rsidRPr="00FA591E" w:rsidRDefault="00000000">
            <w:pPr>
              <w:jc w:val="right"/>
              <w:rPr>
                <w:sz w:val="16"/>
                <w:szCs w:val="16"/>
              </w:rPr>
            </w:pPr>
            <w:r w:rsidRPr="00FA591E">
              <w:rPr>
                <w:sz w:val="16"/>
                <w:szCs w:val="16"/>
              </w:rPr>
              <w:t>54,178</w:t>
            </w:r>
          </w:p>
        </w:tc>
        <w:tc>
          <w:tcPr>
            <w:tcW w:w="1150" w:type="dxa"/>
          </w:tcPr>
          <w:p w14:paraId="7A301708" w14:textId="77777777" w:rsidR="004D20D1" w:rsidRPr="00FA591E" w:rsidRDefault="00000000">
            <w:pPr>
              <w:jc w:val="right"/>
              <w:rPr>
                <w:sz w:val="16"/>
                <w:szCs w:val="16"/>
              </w:rPr>
            </w:pPr>
            <w:r w:rsidRPr="00FA591E">
              <w:rPr>
                <w:sz w:val="16"/>
                <w:szCs w:val="16"/>
              </w:rPr>
              <w:t>36,743</w:t>
            </w:r>
          </w:p>
        </w:tc>
        <w:tc>
          <w:tcPr>
            <w:tcW w:w="1350" w:type="dxa"/>
          </w:tcPr>
          <w:p w14:paraId="21F08651" w14:textId="77777777" w:rsidR="004D20D1" w:rsidRPr="00FA591E" w:rsidRDefault="00000000">
            <w:pPr>
              <w:jc w:val="right"/>
              <w:rPr>
                <w:sz w:val="16"/>
                <w:szCs w:val="16"/>
              </w:rPr>
            </w:pPr>
            <w:r w:rsidRPr="00FA591E">
              <w:rPr>
                <w:sz w:val="16"/>
                <w:szCs w:val="16"/>
              </w:rPr>
              <w:t>55,079</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32</w:t>
            </w:r>
          </w:p>
        </w:tc>
        <w:tc>
          <w:tcPr>
            <w:tcW w:w="1100" w:type="dxa"/>
          </w:tcPr>
          <w:p w14:paraId="27516F85" w14:textId="77777777" w:rsidR="004D20D1" w:rsidRPr="00FA591E" w:rsidRDefault="00000000">
            <w:pPr>
              <w:jc w:val="right"/>
              <w:rPr>
                <w:sz w:val="16"/>
                <w:szCs w:val="16"/>
              </w:rPr>
            </w:pPr>
            <w:r w:rsidRPr="00FA591E">
              <w:rPr>
                <w:sz w:val="16"/>
                <w:szCs w:val="16"/>
              </w:rPr>
              <w:t>71,883</w:t>
            </w:r>
          </w:p>
        </w:tc>
        <w:tc>
          <w:tcPr>
            <w:tcW w:w="1150" w:type="dxa"/>
          </w:tcPr>
          <w:p w14:paraId="7A301708" w14:textId="77777777" w:rsidR="004D20D1" w:rsidRPr="00FA591E" w:rsidRDefault="00000000">
            <w:pPr>
              <w:jc w:val="right"/>
              <w:rPr>
                <w:sz w:val="16"/>
                <w:szCs w:val="16"/>
              </w:rPr>
            </w:pPr>
            <w:r w:rsidRPr="00FA591E">
              <w:rPr>
                <w:sz w:val="16"/>
                <w:szCs w:val="16"/>
              </w:rPr>
              <w:t>34,604</w:t>
            </w:r>
          </w:p>
        </w:tc>
        <w:tc>
          <w:tcPr>
            <w:tcW w:w="1350" w:type="dxa"/>
          </w:tcPr>
          <w:p w14:paraId="21F08651" w14:textId="77777777" w:rsidR="004D20D1" w:rsidRPr="00FA591E" w:rsidRDefault="00000000">
            <w:pPr>
              <w:jc w:val="right"/>
              <w:rPr>
                <w:sz w:val="16"/>
                <w:szCs w:val="16"/>
              </w:rPr>
            </w:pPr>
            <w:r w:rsidRPr="00FA591E">
              <w:rPr>
                <w:sz w:val="16"/>
                <w:szCs w:val="16"/>
              </w:rPr>
              <w:t>39,513</w:t>
            </w:r>
          </w:p>
        </w:tc>
      </w:tr>
      <w:tr w:rsidR="004D20D1" w14:paraId="5C4BDBD2" w14:textId="77777777">
        <w:tc>
          <w:tcPr>
            <w:tcW w:w="700" w:type="dxa"/>
          </w:tcPr>
          <w:p w14:paraId="55A147EF" w14:textId="77777777" w:rsidR="004D20D1" w:rsidRPr="00FA591E" w:rsidRDefault="00000000">
            <w:pPr>
              <w:rPr>
                <w:sz w:val="16"/>
                <w:szCs w:val="16"/>
              </w:rPr>
            </w:pPr>
            <w:r w:rsidRPr="00FA591E">
              <w:rPr>
                <w:sz w:val="16"/>
                <w:szCs w:val="16"/>
              </w:rPr>
              <w:t>64</w:t>
            </w:r>
          </w:p>
        </w:tc>
        <w:tc>
          <w:tcPr>
            <w:tcW w:w="1100" w:type="dxa"/>
          </w:tcPr>
          <w:p w14:paraId="27516F85" w14:textId="77777777" w:rsidR="004D20D1" w:rsidRPr="00FA591E" w:rsidRDefault="00000000">
            <w:pPr>
              <w:jc w:val="right"/>
              <w:rPr>
                <w:sz w:val="16"/>
                <w:szCs w:val="16"/>
              </w:rPr>
            </w:pPr>
            <w:r w:rsidRPr="00FA591E">
              <w:rPr>
                <w:sz w:val="16"/>
                <w:szCs w:val="16"/>
              </w:rPr>
              <w:t>71,919</w:t>
            </w:r>
          </w:p>
        </w:tc>
        <w:tc>
          <w:tcPr>
            <w:tcW w:w="1150" w:type="dxa"/>
          </w:tcPr>
          <w:p w14:paraId="7A301708" w14:textId="77777777" w:rsidR="004D20D1" w:rsidRPr="00FA591E" w:rsidRDefault="00000000">
            <w:pPr>
              <w:jc w:val="right"/>
              <w:rPr>
                <w:sz w:val="16"/>
                <w:szCs w:val="16"/>
              </w:rPr>
            </w:pPr>
            <w:r w:rsidRPr="00FA591E">
              <w:rPr>
                <w:sz w:val="16"/>
                <w:szCs w:val="16"/>
              </w:rPr>
              <w:t>34,600</w:t>
            </w:r>
          </w:p>
        </w:tc>
        <w:tc>
          <w:tcPr>
            <w:tcW w:w="1350" w:type="dxa"/>
          </w:tcPr>
          <w:p w14:paraId="21F08651" w14:textId="77777777" w:rsidR="004D20D1" w:rsidRPr="00FA591E" w:rsidRDefault="00000000">
            <w:pPr>
              <w:jc w:val="right"/>
              <w:rPr>
                <w:sz w:val="16"/>
                <w:szCs w:val="16"/>
              </w:rPr>
            </w:pPr>
            <w:r w:rsidRPr="00FA591E">
              <w:rPr>
                <w:sz w:val="16"/>
                <w:szCs w:val="16"/>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FE000001" w14:textId="77777777" w:rsidR="00CA0C2E" w:rsidRDefault="00CA0C2E" w:rsidP="00724B75">
      <w:pPr>
        <w:jc w:val="left"/>
      </w:pPr>
    </w:p>
    <w:p w14:paraId="FE000002" w14:textId="77777777" w:rsidR="00CA0C2E" w:rsidRDefault="00000000" w:rsidP="00724B75">
      <w:pPr>
        <w:jc w:val="left"/>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left"/>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E6000017" w14:textId="77777777" w:rsidR="00CA0C2E" w:rsidRDefault="00CA0C2E" w:rsidP="00724B75">
      <w:pPr>
        <w:jc w:val="left"/>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left"/>
      </w:pPr>
      <w:r>
        <w:t xml:space="preserve">세 가지 독립적인 실험이 같은 방향을 가리킨다 — 예측이 정확할수록 쏠림이 커진다. 용량을 인지하지 않는 롤링 재평가는 배출을 거의 줄이지 못하면서(9,958.2 kg → 9,967.1 kg, 차이 8.9 kg) 최대 동시 실행은 41건에서 54건으로, 상한 위반 배정은 20,208건에서 32,046건으로 오히려 늘어난다. 미래를 완전히 아는 오라클 예측을 주입하면 위반이 662건에서 873건으로 늘어난다 — 용량을 인지하는 조건에서도 같은 방향이다. 이 오라클을 기준으로 예측에 노이즈를 얹어 갈수록 위반은 873건에서 688건(표준편차 20%), 401건(표준편차 30%)으로 줄어든다. 셋 다 같은 메커니즘이다.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left"/>
      </w:pPr>
    </w:p>
    <w:p w14:paraId="E6000012" w14:textId="77777777" w:rsidR="00CA0C2E" w:rsidRDefault="00000000" w:rsidP="00724B75">
      <w:pPr>
        <w:jc w:val="left"/>
      </w:pPr>
      <w:r>
        <w:t xml:space="preserve">두 비용을 직접 비교할 수 있다. 예측 오차의 비용은 실제 LSTM 예측(62.94%)과 완전예지 오라클(63.63%)의 차이인 0.69%포인트다. 용량 제약의 비용은 온라인 용량 인지(62.94%)와 용량을 무시한 반사실 상한(65.93%)의 차이인 3.0%포인트로, 예측 오차 비용의 4배가 넘는다. 즉 예측을 더 잘하는 것보다 용량을 다루는 것이 더 큰 문제다.</w:t>
      </w:r>
    </w:p>
    <w:p w14:paraId="E6000016" w14:textId="77777777" w:rsidR="00CA0C2E" w:rsidRDefault="00CA0C2E" w:rsidP="00724B75">
      <w:pPr>
        <w:jc w:val="left"/>
      </w:pPr>
    </w:p>
    <w:p w14:paraId="E6000013" w14:textId="77777777" w:rsidR="00CA0C2E" w:rsidRDefault="00000000" w:rsidP="00724B75">
      <w:pPr>
        <w:jc w:val="left"/>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662건에서 60,976건으로 92배 폭증한다. 용량 상한을 수요에 비례해 늘리지 않으면 이 알고리즘도 한계에 부딪힌다는 뜻이다. 예측 오차 민감도는 완만한 선형이다 — 노이즈 표준편차 10%포인트당 절감률이 약 0.65%포인트씩 줄어들며 절벽은 없다. 실제 LSTM의 절감률(62.94%)은 오라클(표준편차 0%, 63.64%)과 표준편차 20%(62.30%) 사이에 위치해, 이 모델의 실효 예측 오차가 대략 10~20% 수준임을 시사한다.</w:t>
      </w:r>
    </w:p>
    <w:p w14:paraId="E6000014" w14:textId="77777777" w:rsidR="00CA0C2E" w:rsidRDefault="00CA0C2E" w:rsidP="00724B75">
      <w:pPr>
        <w:jc w:val="left"/>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left"/>
      </w:pPr>
    </w:p>
    <w:p w14:paraId="52CA3887" w14:textId="77777777" w:rsidR="00CA0C2E" w:rsidRDefault="00000000" w:rsidP="00724B75">
      <w:pPr>
        <w:jc w:val="left"/>
      </w:pPr>
      <w:r>
        <w:t xml:space="preserve">공간 이동만으로 총 배출량이 56.85% 감소하고, 시간 이동만으로는 18.58% 감소한다. 리전 용량 제약을 지키면서 둘을 결합하는 온라인 용량 인지 알고리즘(Algorithm 1)은 62.94%를 달성하며, 작업 146,000건 전량이 마감 이내에 처리되어 마감 위반은 발생하지 않는다.</w:t>
      </w:r>
    </w:p>
    <w:p w14:paraId="32E76611" w14:textId="77777777" w:rsidR="00CA0C2E" w:rsidRDefault="00CA0C2E" w:rsidP="00724B75">
      <w:pPr>
        <w:jc w:val="left"/>
      </w:pPr>
    </w:p>
    <w:p w14:paraId="7243578A" w14:textId="77777777" w:rsidR="00CA0C2E" w:rsidRDefault="00000000" w:rsidP="00724B75">
      <w:pPr>
        <w:jc w:val="left"/>
      </w:pPr>
      <w:r>
        <w:t xml:space="preserve">이 62.94%는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3.57%포인트 더 절감하면서 상한 위반을 최대 동시 41건에서 19건으로 줄인다.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left"/>
      </w:pPr>
    </w:p>
    <w:p w14:paraId="65F361F1" w14:textId="77777777" w:rsidR="00CA0C2E" w:rsidRDefault="00000000" w:rsidP="00724B75">
      <w:pPr>
        <w:jc w:val="left"/>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92배로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left"/>
      </w:pP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