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62.94%를 줄였으며 마감 위반은 없었다. 무릎점 자동 선택은 가중치 고정(알파=0.5) 대비 지연 6.7ms만 더 쓰고 탄소는 10.64%포인트 더 줄인다. 다만 리전별 용량 제한을 지키면 시간 이동의 몫은 이론상 9.07%포인트에서 6.09%포인트로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62.94%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6.09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62.94%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19건까지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19건까지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rPr>
          <w:sz w:val="18"/>
          <w:szCs w:val="18"/>
        </w:rP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rPr>
          <w:sz w:val="18"/>
          <w:szCs w:val="18"/>
        </w:rPr>
        <w:t>표</w:t>
      </w:r>
      <w:r>
        <w:rPr>
          <w:sz w:val="18"/>
          <w:szCs w:val="18"/>
        </w:rPr>
        <w:t xml:space="preserve"> 6. </w:t>
      </w:r>
      <w:r>
        <w:rPr>
          <w:sz w:val="18"/>
          <w:szCs w:val="18"/>
        </w:rPr>
        <w:t>용량에</w:t>
      </w:r>
      <w:r>
        <w:rPr>
          <w:sz w:val="18"/>
          <w:szCs w:val="18"/>
        </w:rPr>
        <w:t xml:space="preserve"> </w:t>
      </w:r>
      <w:r>
        <w:rPr>
          <w:sz w:val="18"/>
          <w:szCs w:val="18"/>
        </w:rPr>
        <w:t>따른</w:t>
      </w:r>
      <w:r>
        <w:rPr>
          <w:sz w:val="18"/>
          <w:szCs w:val="18"/>
        </w:rPr>
        <w:t xml:space="preserve"> </w:t>
      </w:r>
      <w:r>
        <w:rPr>
          <w:sz w:val="18"/>
          <w:szCs w:val="18"/>
        </w:rPr>
        <w:t>리전별</w:t>
      </w:r>
      <w:r>
        <w:rPr>
          <w:sz w:val="18"/>
          <w:szCs w:val="18"/>
        </w:rPr>
        <w:t xml:space="preserve"> </w:t>
      </w:r>
      <w:r>
        <w:rPr>
          <w:sz w:val="18"/>
          <w:szCs w:val="18"/>
        </w:rPr>
        <w:t>배정</w:t>
      </w:r>
      <w:r>
        <w:rPr>
          <w:sz w:val="18"/>
          <w:szCs w:val="18"/>
        </w:rPr>
        <w:t xml:space="preserve"> </w:t>
      </w:r>
      <w:r>
        <w:rPr>
          <w:sz w:val="18"/>
          <w:szCs w:val="18"/>
        </w:rPr>
        <w:t>작업</w:t>
      </w:r>
      <w:r>
        <w:rPr>
          <w:sz w:val="18"/>
          <w:szCs w:val="18"/>
        </w:rPr>
        <w:t xml:space="preserve"> </w:t>
      </w:r>
      <w:r>
        <w:rPr>
          <w:sz w:val="18"/>
          <w:szCs w:val="18"/>
        </w:rP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6"/>
                <w:szCs w:val="16"/>
              </w:rPr>
            </w:pPr>
            <w:r w:rsidRPr="00FA591E">
              <w:rPr>
                <w:b/>
                <w:bCs/>
                <w:sz w:val="16"/>
                <w:szCs w:val="16"/>
              </w:rPr>
              <w:t>용량</w:t>
            </w:r>
          </w:p>
        </w:tc>
        <w:tc>
          <w:tcPr>
            <w:tcW w:w="1100" w:type="dxa"/>
            <w:tcBorders>
              <w:bottom w:val="single" w:sz="6" w:space="0" w:color="000000"/>
            </w:tcBorders>
          </w:tcPr>
          <w:p w14:paraId="6061B386" w14:textId="77777777" w:rsidR="004D20D1" w:rsidRPr="00FA591E" w:rsidRDefault="00000000">
            <w:pPr>
              <w:jc w:val="center"/>
              <w:rPr>
                <w:b/>
                <w:bCs/>
                <w:sz w:val="16"/>
                <w:szCs w:val="16"/>
              </w:rPr>
            </w:pPr>
            <w:r w:rsidRPr="00FA591E">
              <w:rPr>
                <w:b/>
                <w:bCs/>
                <w:sz w:val="16"/>
                <w:szCs w:val="16"/>
              </w:rPr>
              <w:t>프랑스</w:t>
            </w:r>
          </w:p>
        </w:tc>
        <w:tc>
          <w:tcPr>
            <w:tcW w:w="1150" w:type="dxa"/>
            <w:tcBorders>
              <w:bottom w:val="single" w:sz="6" w:space="0" w:color="000000"/>
            </w:tcBorders>
          </w:tcPr>
          <w:p w14:paraId="1F3115D1" w14:textId="77777777" w:rsidR="004D20D1" w:rsidRPr="00FA591E" w:rsidRDefault="00000000">
            <w:pPr>
              <w:jc w:val="center"/>
              <w:rPr>
                <w:b/>
                <w:bCs/>
                <w:sz w:val="16"/>
                <w:szCs w:val="16"/>
              </w:rPr>
            </w:pPr>
            <w:r w:rsidRPr="00FA591E">
              <w:rPr>
                <w:b/>
                <w:bCs/>
                <w:sz w:val="16"/>
                <w:szCs w:val="16"/>
              </w:rPr>
              <w:t>캘리포니아</w:t>
            </w:r>
          </w:p>
        </w:tc>
        <w:tc>
          <w:tcPr>
            <w:tcW w:w="1350" w:type="dxa"/>
            <w:tcBorders>
              <w:bottom w:val="single" w:sz="6" w:space="0" w:color="000000"/>
            </w:tcBorders>
          </w:tcPr>
          <w:p w14:paraId="391EA940" w14:textId="77777777" w:rsidR="004D20D1" w:rsidRPr="00FA591E" w:rsidRDefault="00000000">
            <w:pPr>
              <w:jc w:val="center"/>
              <w:rPr>
                <w:b/>
                <w:bCs/>
                <w:sz w:val="16"/>
                <w:szCs w:val="16"/>
              </w:rPr>
            </w:pPr>
            <w:r w:rsidRPr="00FA591E">
              <w:rPr>
                <w:b/>
                <w:bCs/>
                <w:sz w:val="16"/>
                <w:szCs w:val="16"/>
              </w:rPr>
              <w:t>나머지 6개 리전</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8</w:t>
            </w:r>
          </w:p>
        </w:tc>
        <w:tc>
          <w:tcPr>
            <w:tcW w:w="1100" w:type="dxa"/>
          </w:tcPr>
          <w:p w14:paraId="27516F85" w14:textId="77777777" w:rsidR="004D20D1" w:rsidRPr="00FA591E" w:rsidRDefault="00000000">
            <w:pPr>
              <w:jc w:val="right"/>
              <w:rPr>
                <w:sz w:val="16"/>
                <w:szCs w:val="16"/>
              </w:rPr>
            </w:pPr>
            <w:r w:rsidRPr="00FA591E">
              <w:rPr>
                <w:sz w:val="16"/>
                <w:szCs w:val="16"/>
              </w:rPr>
              <w:t>27,876</w:t>
            </w:r>
          </w:p>
        </w:tc>
        <w:tc>
          <w:tcPr>
            <w:tcW w:w="1150" w:type="dxa"/>
          </w:tcPr>
          <w:p w14:paraId="7A301708" w14:textId="77777777" w:rsidR="004D20D1" w:rsidRPr="00FA591E" w:rsidRDefault="00000000">
            <w:pPr>
              <w:jc w:val="right"/>
              <w:rPr>
                <w:sz w:val="16"/>
                <w:szCs w:val="16"/>
              </w:rPr>
            </w:pPr>
            <w:r w:rsidRPr="00FA591E">
              <w:rPr>
                <w:sz w:val="16"/>
                <w:szCs w:val="16"/>
              </w:rPr>
              <w:t>25,538</w:t>
            </w:r>
          </w:p>
        </w:tc>
        <w:tc>
          <w:tcPr>
            <w:tcW w:w="1350" w:type="dxa"/>
          </w:tcPr>
          <w:p w14:paraId="21F08651" w14:textId="77777777" w:rsidR="004D20D1" w:rsidRPr="00FA591E" w:rsidRDefault="00000000">
            <w:pPr>
              <w:jc w:val="right"/>
              <w:rPr>
                <w:sz w:val="16"/>
                <w:szCs w:val="16"/>
              </w:rPr>
            </w:pPr>
            <w:r w:rsidRPr="00FA591E">
              <w:rPr>
                <w:sz w:val="16"/>
                <w:szCs w:val="16"/>
              </w:rPr>
              <w:t>92,585</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16</w:t>
            </w:r>
          </w:p>
        </w:tc>
        <w:tc>
          <w:tcPr>
            <w:tcW w:w="1100" w:type="dxa"/>
          </w:tcPr>
          <w:p w14:paraId="27516F85" w14:textId="77777777" w:rsidR="004D20D1" w:rsidRPr="00FA591E" w:rsidRDefault="00000000">
            <w:pPr>
              <w:jc w:val="right"/>
              <w:rPr>
                <w:sz w:val="16"/>
                <w:szCs w:val="16"/>
              </w:rPr>
            </w:pPr>
            <w:r w:rsidRPr="00FA591E">
              <w:rPr>
                <w:sz w:val="16"/>
                <w:szCs w:val="16"/>
              </w:rPr>
              <w:t>54,178</w:t>
            </w:r>
          </w:p>
        </w:tc>
        <w:tc>
          <w:tcPr>
            <w:tcW w:w="1150" w:type="dxa"/>
          </w:tcPr>
          <w:p w14:paraId="7A301708" w14:textId="77777777" w:rsidR="004D20D1" w:rsidRPr="00FA591E" w:rsidRDefault="00000000">
            <w:pPr>
              <w:jc w:val="right"/>
              <w:rPr>
                <w:sz w:val="16"/>
                <w:szCs w:val="16"/>
              </w:rPr>
            </w:pPr>
            <w:r w:rsidRPr="00FA591E">
              <w:rPr>
                <w:sz w:val="16"/>
                <w:szCs w:val="16"/>
              </w:rPr>
              <w:t>36,743</w:t>
            </w:r>
          </w:p>
        </w:tc>
        <w:tc>
          <w:tcPr>
            <w:tcW w:w="1350" w:type="dxa"/>
          </w:tcPr>
          <w:p w14:paraId="21F08651" w14:textId="77777777" w:rsidR="004D20D1" w:rsidRPr="00FA591E" w:rsidRDefault="00000000">
            <w:pPr>
              <w:jc w:val="right"/>
              <w:rPr>
                <w:sz w:val="16"/>
                <w:szCs w:val="16"/>
              </w:rPr>
            </w:pPr>
            <w:r w:rsidRPr="00FA591E">
              <w:rPr>
                <w:sz w:val="16"/>
                <w:szCs w:val="16"/>
              </w:rPr>
              <w:t>55,079</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32</w:t>
            </w:r>
          </w:p>
        </w:tc>
        <w:tc>
          <w:tcPr>
            <w:tcW w:w="1100" w:type="dxa"/>
          </w:tcPr>
          <w:p w14:paraId="27516F85" w14:textId="77777777" w:rsidR="004D20D1" w:rsidRPr="00FA591E" w:rsidRDefault="00000000">
            <w:pPr>
              <w:jc w:val="right"/>
              <w:rPr>
                <w:sz w:val="16"/>
                <w:szCs w:val="16"/>
              </w:rPr>
            </w:pPr>
            <w:r w:rsidRPr="00FA591E">
              <w:rPr>
                <w:sz w:val="16"/>
                <w:szCs w:val="16"/>
              </w:rPr>
              <w:t>71,883</w:t>
            </w:r>
          </w:p>
        </w:tc>
        <w:tc>
          <w:tcPr>
            <w:tcW w:w="1150" w:type="dxa"/>
          </w:tcPr>
          <w:p w14:paraId="7A301708" w14:textId="77777777" w:rsidR="004D20D1" w:rsidRPr="00FA591E" w:rsidRDefault="00000000">
            <w:pPr>
              <w:jc w:val="right"/>
              <w:rPr>
                <w:sz w:val="16"/>
                <w:szCs w:val="16"/>
              </w:rPr>
            </w:pPr>
            <w:r w:rsidRPr="00FA591E">
              <w:rPr>
                <w:sz w:val="16"/>
                <w:szCs w:val="16"/>
              </w:rPr>
              <w:t>34,604</w:t>
            </w:r>
          </w:p>
        </w:tc>
        <w:tc>
          <w:tcPr>
            <w:tcW w:w="1350" w:type="dxa"/>
          </w:tcPr>
          <w:p w14:paraId="21F08651" w14:textId="77777777" w:rsidR="004D20D1" w:rsidRPr="00FA591E" w:rsidRDefault="00000000">
            <w:pPr>
              <w:jc w:val="right"/>
              <w:rPr>
                <w:sz w:val="16"/>
                <w:szCs w:val="16"/>
              </w:rPr>
            </w:pPr>
            <w:r w:rsidRPr="00FA591E">
              <w:rPr>
                <w:sz w:val="16"/>
                <w:szCs w:val="16"/>
              </w:rPr>
              <w:t>39,513</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64</w:t>
            </w:r>
          </w:p>
        </w:tc>
        <w:tc>
          <w:tcPr>
            <w:tcW w:w="1100" w:type="dxa"/>
          </w:tcPr>
          <w:p w14:paraId="27516F85" w14:textId="77777777" w:rsidR="004D20D1" w:rsidRPr="00FA591E" w:rsidRDefault="00000000">
            <w:pPr>
              <w:jc w:val="right"/>
              <w:rPr>
                <w:sz w:val="16"/>
                <w:szCs w:val="16"/>
              </w:rPr>
            </w:pPr>
            <w:r w:rsidRPr="00FA591E">
              <w:rPr>
                <w:sz w:val="16"/>
                <w:szCs w:val="16"/>
              </w:rPr>
              <w:t>71,919</w:t>
            </w:r>
          </w:p>
        </w:tc>
        <w:tc>
          <w:tcPr>
            <w:tcW w:w="1150" w:type="dxa"/>
          </w:tcPr>
          <w:p w14:paraId="7A301708" w14:textId="77777777" w:rsidR="004D20D1" w:rsidRPr="00FA591E" w:rsidRDefault="00000000">
            <w:pPr>
              <w:jc w:val="right"/>
              <w:rPr>
                <w:sz w:val="16"/>
                <w:szCs w:val="16"/>
              </w:rPr>
            </w:pPr>
            <w:r w:rsidRPr="00FA591E">
              <w:rPr>
                <w:sz w:val="16"/>
                <w:szCs w:val="16"/>
              </w:rPr>
              <w:t>34,600</w:t>
            </w:r>
          </w:p>
        </w:tc>
        <w:tc>
          <w:tcPr>
            <w:tcW w:w="1350" w:type="dxa"/>
          </w:tcPr>
          <w:p w14:paraId="21F08651" w14:textId="77777777" w:rsidR="004D20D1" w:rsidRPr="00FA591E" w:rsidRDefault="00000000">
            <w:pPr>
              <w:jc w:val="right"/>
              <w:rPr>
                <w:sz w:val="16"/>
                <w:szCs w:val="16"/>
              </w:rPr>
            </w:pPr>
            <w:r w:rsidRPr="00FA591E">
              <w:rPr>
                <w:sz w:val="16"/>
                <w:szCs w:val="16"/>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FE000001"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E6000017"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9,967.1 kg, 차이 8.9 kg) 최대 동시 실행은 41건에서 54건으로, 상한 위반 배정은 20,208건에서 32,046건으로 오히려 늘어난다. 미래를 완전히 아는 오라클 예측을 주입하면 위반이 662건에서 873건으로 늘어난다 — 용량을 인지하는 조건에서도 같은 방향이다. 이 오라클을 기준으로 예측에 노이즈를 얹어 갈수록 위반은 873건에서 688건(표준편차 20%), 401건(표준편차 30%)으로 줄어든다. 셋 다 같은 메커니즘이다.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예측(62.94%)과 완전예지 오라클(63.63%)의 차이인 0.69%포인트다. 용량 제약의 비용은 온라인 용량 인지(62.94%)와 용량을 무시한 반사실 상한(65.93%)의 차이인 3.0%포인트로,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662건에서 60,976건으로 92배 폭증한다. 용량 상한을 수요에 비례해 늘리지 않으면 이 알고리즘도 한계에 부딪힌다는 뜻이다. 예측 오차 민감도는 완만한 선형이다 — 노이즈 표준편차 10%포인트당 절감률이 약 0.65%포인트씩 줄어들며 절벽은 없다. 실제 LSTM의 절감률(62.94%)은 오라클(표준편차 0%, 63.64%)과 표준편차 20%(62.30%)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62.94%를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62.94%는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3.57%포인트 더 절감하면서 상한 위반을 최대 동시 41건에서 19건으로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차이)과 합성 워크로드 파라미터(도착률, 지연 등급 분포)의 근거는 완전하지 않다.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