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 xml:space="preserve">Abstract  The carbon footprint of a cloud workload varies substantially with where and when it runs. Prior work has measured this potential but has mostly assumed unlimited regional capacity. Without a capacity limit the </w:t>
      </w:r>
      <w:r>
        <w:rPr>
          <w:b/>
          <w:bCs/>
        </w:rPr>
        <w:t>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lastRenderedPageBreak/>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8"/>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9"/>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 8</w:t>
      </w:r>
      <w:r>
        <w:rPr>
          <w:sz w:val="18"/>
        </w:rPr>
        <w:t>개</w:t>
      </w:r>
      <w:r>
        <w:rPr>
          <w:sz w:val="18"/>
        </w:rPr>
        <w:t xml:space="preserve"> </w:t>
      </w:r>
      <w:r>
        <w:rPr>
          <w:sz w:val="18"/>
        </w:rPr>
        <w:t>리전</w:t>
      </w:r>
      <w:r>
        <w:rPr>
          <w:sz w:val="18"/>
        </w:rPr>
        <w:t xml:space="preserve"> </w:t>
      </w:r>
      <w:r>
        <w:rPr>
          <w:sz w:val="18"/>
        </w:rPr>
        <w:t>전체의</w:t>
      </w:r>
      <w:r>
        <w:rPr>
          <w:sz w:val="18"/>
        </w:rPr>
        <w:t xml:space="preserve"> 24</w:t>
      </w:r>
      <w:r>
        <w:rPr>
          <w:sz w:val="18"/>
        </w:rPr>
        <w:t>시간</w:t>
      </w:r>
      <w:r>
        <w:rPr>
          <w:sz w:val="18"/>
        </w:rPr>
        <w:t xml:space="preserve"> </w:t>
      </w:r>
      <w:r>
        <w:rPr>
          <w:sz w:val="18"/>
        </w:rPr>
        <w:t>지평</w:t>
      </w:r>
      <w:r>
        <w:rPr>
          <w:sz w:val="18"/>
        </w:rPr>
        <w:t xml:space="preserve"> </w:t>
      </w:r>
      <w:r>
        <w:rPr>
          <w:sz w:val="18"/>
        </w:rPr>
        <w:t>평균은</w:t>
      </w:r>
      <w:r>
        <w:rPr>
          <w:sz w:val="18"/>
        </w:rPr>
        <w:t xml:space="preserve"> 26.1</w:t>
      </w:r>
      <w:r>
        <w:rPr>
          <w:sz w:val="18"/>
        </w:rPr>
        <w:t>이다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갖는다</w:t>
      </w:r>
      <w:r>
        <w:t xml:space="preserve">. </w:t>
      </w:r>
      <w:r>
        <w:t>작업의</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가지며</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w:t>
      </w:r>
      <w:r>
        <w:t>작업</w:t>
      </w:r>
      <w:r>
        <w:t xml:space="preserve"> </w:t>
      </w:r>
      <w:r>
        <w:rPr>
          <w:rFonts w:ascii="Cambria Math" w:hAnsi="Cambria Math"/>
          <w:i/>
        </w:rPr>
        <w:t>j</w:t>
      </w:r>
      <w:r>
        <w:t>를</w:t>
      </w:r>
      <w:r>
        <w:t xml:space="preserve"> </w:t>
      </w:r>
      <w:r>
        <w:t>리전</w:t>
      </w:r>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lastRenderedPageBreak/>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0"/>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31702A40"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lastRenderedPageBreak/>
        <w:t>이하에서는</w:t>
      </w:r>
      <w:r>
        <w:t xml:space="preserve"> </w:t>
      </w:r>
      <w:r>
        <w:t>홈</w:t>
      </w:r>
      <w:r>
        <w:t>(</w:t>
      </w:r>
      <w:r>
        <w:t>한국</w:t>
      </w:r>
      <w:r>
        <w:t>, 351 gCO₂/kWh), 0.5</w:t>
      </w:r>
      <w:r>
        <w:t>에서</w:t>
      </w:r>
      <w:r>
        <w:t xml:space="preserve"> 0.9 </w:t>
      </w:r>
      <w:r>
        <w:t>사이에서는</w:t>
      </w:r>
      <w:r>
        <w:t xml:space="preserve"> </w:t>
      </w:r>
      <w:r>
        <w:t>캘리포니아</w:t>
      </w:r>
      <w:r>
        <w:t>(14, 134 ms), 1.0</w:t>
      </w:r>
      <w:r>
        <w:t>에서는</w:t>
      </w:r>
      <w:r>
        <w:t xml:space="preserve"> </w:t>
      </w:r>
      <w:r>
        <w:t>프랑스</w:t>
      </w:r>
      <w:r>
        <w:t>(9, 238 ms)</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gCO₂/kWh, </w:t>
      </w:r>
      <w:r>
        <w:rPr>
          <w:sz w:val="18"/>
        </w:rPr>
        <w:t>지연은</w:t>
      </w:r>
      <w:r>
        <w:rPr>
          <w:sz w:val="18"/>
        </w:rPr>
        <w:t xml:space="preserve"> ms.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1"/>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2"/>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ms </w:t>
      </w:r>
      <w:r>
        <w:rPr>
          <w:sz w:val="18"/>
          <w:szCs w:val="18"/>
        </w:rPr>
        <w:t>더</w:t>
      </w:r>
      <w:r>
        <w:rPr>
          <w:sz w:val="18"/>
          <w:szCs w:val="18"/>
        </w:rPr>
        <w:t xml:space="preserve"> </w:t>
      </w:r>
      <w:r>
        <w:rPr>
          <w:sz w:val="18"/>
          <w:szCs w:val="18"/>
        </w:rPr>
        <w:t>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lastRenderedPageBreak/>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3"/>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sz w:val="18"/>
          <w:szCs w:val="18"/>
          <w:lang w:eastAsia="ko-KR"/>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5459E1C5"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r>
            <w:rPr>
              <w:rFonts w:ascii="Cambria Math" w:hAnsi="Cambria Math"/>
              <w:sz w:val="16"/>
            </w:rPr>
            <w:br/>
          </m:r>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m:oMathPara>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ind w:firstLine="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5"/>
                <w:szCs w:val="15"/>
              </w:rPr>
            </m:ctrlPr>
          </m:boxPr>
          <m:e>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r</m:t>
                </m:r>
              </m:sub>
            </m:sSub>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box>
              <m:boxPr>
                <m:ctrlPr>
                  <w:rPr>
                    <w:rFonts w:ascii="Cambria Math" w:hAnsi="Cambria Math"/>
                    <w:sz w:val="15"/>
                    <w:szCs w:val="15"/>
                  </w:rPr>
                </m:ctrlPr>
              </m:boxPr>
              <m:e>
                <m:d>
                  <m:dPr>
                    <m:begChr m:val="{"/>
                    <m:endChr m:val="}"/>
                    <m:ctrlPr>
                      <w:rPr>
                        <w:rFonts w:ascii="Cambria Math" w:hAnsi="Cambria Math"/>
                        <w:sz w:val="15"/>
                        <w:szCs w:val="15"/>
                      </w:rPr>
                    </m:ctrlPr>
                  </m:dPr>
                  <m:e>
                    <m:box>
                      <m:boxPr>
                        <m:ctrlPr>
                          <w:rPr>
                            <w:rFonts w:ascii="Cambria Math" w:hAnsi="Cambria Math"/>
                            <w:sz w:val="15"/>
                            <w:szCs w:val="15"/>
                          </w:rPr>
                        </m:ctrlPr>
                      </m:boxPr>
                      <m:e>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Q</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m:rPr>
                            <m:nor/>
                          </m:rPr>
                          <m:t> </m:t>
                        </m:r>
                        <m:sSub>
                          <m:sSubPr>
                            <m:ctrlPr>
                              <w:rPr>
                                <w:rFonts w:ascii="Cambria Math" w:hAnsi="Cambria Math"/>
                                <w:sz w:val="15"/>
                                <w:szCs w:val="15"/>
                              </w:rPr>
                            </m:ctrlPr>
                          </m:sSubPr>
                          <m:e>
                            <m:r>
                              <m:rPr>
                                <m:sty m:val="p"/>
                              </m:rPr>
                              <w:rPr>
                                <w:rFonts w:ascii="Cambria Math" w:hAnsi="Cambria Math"/>
                                <w:sz w:val="15"/>
                                <w:szCs w:val="15"/>
                              </w:rPr>
                              <m:t>arg min</m:t>
                            </m:r>
                          </m:e>
                          <m:sub>
                            <m:box>
                              <m:boxPr>
                                <m:ctrlPr>
                                  <w:rPr>
                                    <w:rFonts w:ascii="Cambria Math" w:hAnsi="Cambria Math"/>
                                    <w:sz w:val="15"/>
                                    <w:szCs w:val="15"/>
                                  </w:rPr>
                                </m:ctrlPr>
                              </m:boxPr>
                              <m:e>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e>
                            </m:box>
                          </m:sub>
                        </m:sSub>
                        <m:r>
                          <w:rPr>
                            <w:rFonts w:ascii="Cambria Math" w:hAnsi="Cambria Math"/>
                            <w:sz w:val="15"/>
                            <w:szCs w:val="15"/>
                          </w:rPr>
                          <m:t>scor</m:t>
                        </m:r>
                        <m:sSub>
                          <m:sSubPr>
                            <m:ctrlPr>
                              <w:rPr>
                                <w:rFonts w:ascii="Cambria Math" w:hAnsi="Cambria Math"/>
                                <w:sz w:val="15"/>
                                <w:szCs w:val="15"/>
                              </w:rPr>
                            </m:ctrlPr>
                          </m:sSubPr>
                          <m:e>
                            <m:r>
                              <w:rPr>
                                <w:rFonts w:ascii="Cambria Math" w:hAnsi="Cambria Math"/>
                                <w:sz w:val="15"/>
                                <w:szCs w:val="15"/>
                              </w:rPr>
                              <m:t>e</m:t>
                            </m:r>
                          </m:e>
                          <m:sub>
                            <m:r>
                              <w:rPr>
                                <w:rFonts w:ascii="Cambria Math" w:hAnsi="Cambria Math"/>
                                <w:sz w:val="15"/>
                                <w:szCs w:val="15"/>
                              </w:rPr>
                              <m:t>j</m:t>
                            </m:r>
                          </m:sub>
                        </m:sSub>
                        <m:r>
                          <m:rPr>
                            <m:sty m:val="p"/>
                          </m:rPr>
                          <w:rPr>
                            <w:rFonts w:ascii="Cambria Math" w:hAnsi="Cambria Math"/>
                            <w:sz w:val="15"/>
                            <w:szCs w:val="15"/>
                          </w:rPr>
                          <m:t>(</m:t>
                        </m:r>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r>
                          <m:rPr>
                            <m:sty m:val="p"/>
                          </m:rPr>
                          <w:rPr>
                            <w:rFonts w:ascii="Cambria Math" w:hAnsi="Cambria Math"/>
                            <w:sz w:val="15"/>
                            <w:szCs w:val="15"/>
                          </w:rPr>
                          <m:t>)=max(</m:t>
                        </m:r>
                        <m:r>
                          <w:rPr>
                            <w:rFonts w:ascii="Cambria Math" w:hAnsi="Cambria Math"/>
                            <w:sz w:val="15"/>
                            <w:szCs w:val="15"/>
                          </w:rPr>
                          <m:t>t</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s</m:t>
                            </m:r>
                          </m:e>
                          <m:sub>
                            <m:r>
                              <w:rPr>
                                <w:rFonts w:ascii="Cambria Math" w:hAnsi="Cambria Math"/>
                                <w:sz w:val="15"/>
                                <w:szCs w:val="15"/>
                              </w:rPr>
                              <m:t>j</m:t>
                            </m:r>
                          </m:sub>
                        </m:sSub>
                        <m:r>
                          <m:rPr>
                            <m:sty m:val="p"/>
                          </m:rPr>
                          <w:rPr>
                            <w:rFonts w:ascii="Cambria Math" w:hAnsi="Cambria Math"/>
                            <w:sz w:val="15"/>
                            <w:szCs w:val="15"/>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r>
      <w:r>
        <w:rPr>
          <w:rFonts w:ascii="Courier New" w:hAnsi="Courier New"/>
          <w:sz w:val="15"/>
          <w:szCs w:val="15"/>
        </w:rPr>
        <w:lastRenderedPageBreak/>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값을 바꾸면 결과가 얼마나 달라지는지는 4.3절의 용량 스윕에서 잰다.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4"/>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lastRenderedPageBreak/>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5"/>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 xml:space="preserve">절감률만 보면 CASPER(95.28%)와 Sukprasert의 완전예지 정책(96.61%)이 본 연구(63.03%)를 앞선다. 다만 본 연구를 앞서는 네 방식은 모두 상한 위반이 20,208건 이상이며, 그 안에서는 절감률이 높을수록 위반도 많다. 가장 적은 것도 본 연구의 89배다. 이 상한은 기준 배정이 실제로 도달한 최대치의 92%이므로, 이를 넘기는 배정은 그 워크로드가 한 번도 요구한 적 없는 동시 실행 수를 전제한다. CASPER의 지연·용량 제약은 본 연구의 워크로드 규모에서 한 번도 활성화되지 않아(사유는 추가자료) 매 시간 전체 요청이 그 순간 가장 깨끗한 리전 하나로 몰리며, 평균 네트워크 지연은 120.4 ms로 본 연구 무릎점의 3.3배가 된다. Sukprasert의 상한은 미래를 완전히 아는 오프라인 오라클을 전제하므로 온라인 시스템으로는 얻을 수 없는 값이며, 그 배치는 146,000건 가운데 145,641건(99.75%)을 프랑스 한 리전에 넣는다.</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6"/>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t xml:space="preserve">이 결과가 실무에 주는 함의는 세 가지다. 첫째, 탄소 인지 스케줄링의 이득을 보고할 때 용량을 함께 보고하지 않으면 그 숫자는 비교할 수 없다. 재현한 선행 정책 가운데 본 연구보다 낮은 배출을 낸 셋은 모두 같은 상한으로 다시 세면 49,356건 이상의 초과 배정을 전제한다.</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lastRenderedPageBreak/>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 xml:space="preserve">한계는 다섯 가지다. 첫째, 작업이 여덟 리전에 균등하게 발생하도록 두었다. 기준 배출의 69.9%가 인도(24.3%)·일본(16.1%)·한국(16.0%)·텍사스(13.5%) 네 리전에서 나오는데, 실제 클라우드 수요는 균등하지 않으므로 분포를 바꾸면 기준값과 절감 폭이 함께 달라진다. 이 축은 시험하지 못했다. 둘째, 실제 클러스터 배포가 아닌 시뮬레이션 평가여서 스케줄러와 클러스터 관리 계층의 연동 비용을 확인하지 못했다. 셋째, 캘리포니아·텍사스·독일 세 리전의 기상 입력은 예보 API가 아니라 해당 시각의 실측값이어서 이 세 리전의 예측 성능과 절감 효과는 실제보다 낙관적일 수 있다. 넷째, 원자료의 제약으로 예측 지평을 24시간까지만 시험했다. 다섯째, 솔버의 동률 처리 비결정성으로 재실행 시 총배출이 최대 0.14% 달라지고, 지연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17"/>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6AC7B" w14:textId="77777777" w:rsidR="000B409E" w:rsidRDefault="000B409E">
      <w:pPr>
        <w:spacing w:line="240" w:lineRule="auto"/>
      </w:pPr>
      <w:r>
        <w:separator/>
      </w:r>
    </w:p>
  </w:endnote>
  <w:endnote w:type="continuationSeparator" w:id="0">
    <w:p w14:paraId="22A465FE" w14:textId="77777777" w:rsidR="000B409E" w:rsidRDefault="000B40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AF54252-91BE-9241-B686-D3B5B07F2965}"/>
    <w:embedBold r:id="rId2" w:fontKey="{2ABA4B62-196C-2A45-A452-A84DAAB816F1}"/>
    <w:embedItalic r:id="rId3" w:fontKey="{232560B3-FB7E-0445-B747-E9BEFC6F3534}"/>
  </w:font>
  <w:font w:name="나눔명조">
    <w:panose1 w:val="020B0604020202020204"/>
    <w:charset w:val="81"/>
    <w:family w:val="roman"/>
    <w:pitch w:val="variable"/>
    <w:sig w:usb0="800002A7" w:usb1="09D7FCFB" w:usb2="00000010" w:usb3="00000000" w:csb0="00280001" w:csb1="00000000"/>
    <w:embedRegular r:id="rId4" w:subsetted="1" w:fontKey="{76F1FEA5-8989-E04E-8163-58B78B2CEA9E}"/>
    <w:embedBold r:id="rId5" w:subsetted="1" w:fontKey="{7DCC9929-E9F2-3148-BEF0-F098875006E0}"/>
  </w:font>
  <w:font w:name="Arial">
    <w:panose1 w:val="020B0604020202020204"/>
    <w:charset w:val="00"/>
    <w:family w:val="swiss"/>
    <w:pitch w:val="variable"/>
    <w:sig w:usb0="E0002AFF" w:usb1="C0007843" w:usb2="00000009" w:usb3="00000000" w:csb0="000001FF" w:csb1="00000000"/>
    <w:embedRegular r:id="rId6" w:fontKey="{6D941D8E-9C24-5946-BAF7-CB8678140D18}"/>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85D86147-0F3A-C54A-9955-E72A09E79C04}"/>
    <w:embedItalic r:id="rId9" w:fontKey="{A14D88A3-5A51-B940-8BF9-7E95D10613DB}"/>
  </w:font>
  <w:font w:name="Courier New">
    <w:panose1 w:val="02070309020205020404"/>
    <w:charset w:val="00"/>
    <w:family w:val="modern"/>
    <w:pitch w:val="fixed"/>
    <w:sig w:usb0="E0002AFF" w:usb1="C0007843" w:usb2="00000009" w:usb3="00000000" w:csb0="000001FF" w:csb1="00000000"/>
    <w:embedRegular r:id="rId10" w:fontKey="{914F7B74-BC89-A643-9F8B-522290C8E314}"/>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AF7CDD6-5466-4F48-A6EF-A01C0326DDAC}"/>
  </w:font>
  <w:font w:name="Cambria">
    <w:panose1 w:val="02040503050406030204"/>
    <w:charset w:val="00"/>
    <w:family w:val="roman"/>
    <w:pitch w:val="variable"/>
    <w:sig w:usb0="E00002FF" w:usb1="400004FF" w:usb2="00000000" w:usb3="00000000" w:csb0="0000019F" w:csb1="00000000"/>
    <w:embedRegular r:id="rId12" w:fontKey="{363FCEE1-8061-BB47-B8C8-31A906AC6C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7D730" w14:textId="77777777" w:rsidR="000B409E" w:rsidRDefault="000B409E">
      <w:pPr>
        <w:spacing w:line="240" w:lineRule="auto"/>
      </w:pPr>
      <w:r>
        <w:separator/>
      </w:r>
    </w:p>
  </w:footnote>
  <w:footnote w:type="continuationSeparator" w:id="0">
    <w:p w14:paraId="11B531D3" w14:textId="77777777" w:rsidR="000B409E" w:rsidRDefault="000B409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B409E"/>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2C41ED"/>
    <w:rsid w:val="0032006D"/>
    <w:rsid w:val="0032041E"/>
    <w:rsid w:val="003404EF"/>
    <w:rsid w:val="00354F08"/>
    <w:rsid w:val="00363AE3"/>
    <w:rsid w:val="00395172"/>
    <w:rsid w:val="003A0FF1"/>
    <w:rsid w:val="003A5515"/>
    <w:rsid w:val="003D147E"/>
    <w:rsid w:val="00415F79"/>
    <w:rsid w:val="004228F2"/>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D6DE7"/>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72A2A"/>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11</Pages>
  <Words>3518</Words>
  <Characters>20058</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68</cp:revision>
  <dcterms:created xsi:type="dcterms:W3CDTF">2026-08-27T08:37:00Z</dcterms:created>
  <dcterms:modified xsi:type="dcterms:W3CDTF">2026-09-24T15:00:00Z</dcterms:modified>
</cp:coreProperties>
</file>