
<file path=[Content_Types].xml><?xml version="1.0" encoding="utf-8"?>
<Types xmlns="http://schemas.openxmlformats.org/package/2006/content-types">
  <Default ContentType="image/png" Extension="pn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KCI 등재기준 학회</w:t>
      </w:r>
    </w:p>
    <w:p w:rsidR="00000000" w:rsidDel="00000000" w:rsidP="00000000" w:rsidRDefault="00000000" w:rsidRPr="00000000" w14:paraId="00000002">
      <w:pPr>
        <w:spacing w:line="276" w:lineRule="auto"/>
        <w:rPr/>
      </w:pPr>
      <w:r w:rsidDel="00000000" w:rsidR="00000000" w:rsidRPr="00000000">
        <w:rPr>
          <w:rFonts w:ascii="Arial Unicode MS" w:cs="Arial Unicode MS" w:eastAsia="Arial Unicode MS" w:hAnsi="Arial Unicode MS"/>
          <w:rtl w:val="0"/>
        </w:rPr>
        <w:t xml:space="preserve">1. 정보처리학회논문지: 컴퓨터 및 통신시스템(KTCCS)</w:t>
      </w:r>
    </w:p>
    <w:p w:rsidR="00000000" w:rsidDel="00000000" w:rsidP="00000000" w:rsidRDefault="00000000" w:rsidRPr="00000000" w14:paraId="00000003">
      <w:pPr>
        <w:spacing w:line="276" w:lineRule="auto"/>
        <w:rPr/>
      </w:pPr>
      <w:r w:rsidDel="00000000" w:rsidR="00000000" w:rsidRPr="00000000">
        <w:rPr>
          <w:rFonts w:ascii="Arial Unicode MS" w:cs="Arial Unicode MS" w:eastAsia="Arial Unicode MS" w:hAnsi="Arial Unicode MS"/>
          <w:rtl w:val="0"/>
        </w:rPr>
        <w:t xml:space="preserve">* 수시투고, 월간</w:t>
      </w:r>
    </w:p>
    <w:p w:rsidR="00000000" w:rsidDel="00000000" w:rsidP="00000000" w:rsidRDefault="00000000" w:rsidRPr="00000000" w14:paraId="00000004">
      <w:pPr>
        <w:spacing w:line="276" w:lineRule="auto"/>
        <w:rPr/>
      </w:pPr>
      <w:r w:rsidDel="00000000" w:rsidR="00000000" w:rsidRPr="00000000">
        <w:rPr>
          <w:rFonts w:ascii="Arial Unicode MS" w:cs="Arial Unicode MS" w:eastAsia="Arial Unicode MS" w:hAnsi="Arial Unicode MS"/>
          <w:rtl w:val="0"/>
        </w:rPr>
        <w:t xml:space="preserve">* 투고분야에 클라우드 컴퓨팅 등 명시되어 있음</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Fonts w:ascii="Arial Unicode MS" w:cs="Arial Unicode MS" w:eastAsia="Arial Unicode MS" w:hAnsi="Arial Unicode MS"/>
          <w:rtl w:val="0"/>
        </w:rPr>
        <w:t xml:space="preserve">2. 정보과학회 컴퓨팅의 실제 논문지(KTCP)</w:t>
      </w:r>
    </w:p>
    <w:p w:rsidR="00000000" w:rsidDel="00000000" w:rsidP="00000000" w:rsidRDefault="00000000" w:rsidRPr="00000000" w14:paraId="00000007">
      <w:pPr>
        <w:spacing w:line="276" w:lineRule="auto"/>
        <w:rPr/>
      </w:pPr>
      <w:r w:rsidDel="00000000" w:rsidR="00000000" w:rsidRPr="00000000">
        <w:rPr>
          <w:rFonts w:ascii="Arial Unicode MS" w:cs="Arial Unicode MS" w:eastAsia="Arial Unicode MS" w:hAnsi="Arial Unicode MS"/>
          <w:rtl w:val="0"/>
        </w:rPr>
        <w:t xml:space="preserve">* 수시투고, 월간(매월 15일)</w:t>
      </w:r>
    </w:p>
    <w:p w:rsidR="00000000" w:rsidDel="00000000" w:rsidP="00000000" w:rsidRDefault="00000000" w:rsidRPr="00000000" w14:paraId="00000008">
      <w:pPr>
        <w:spacing w:line="276" w:lineRule="auto"/>
        <w:rPr/>
      </w:pPr>
      <w:r w:rsidDel="00000000" w:rsidR="00000000" w:rsidRPr="00000000">
        <w:rPr>
          <w:rFonts w:ascii="Arial Unicode MS" w:cs="Arial Unicode MS" w:eastAsia="Arial Unicode MS" w:hAnsi="Arial Unicode MS"/>
          <w:rtl w:val="0"/>
        </w:rPr>
        <w:t xml:space="preserve">* 컴퓨터 시스템의 구현, 사용분석 등을 다룬다고 함</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Fonts w:ascii="Arial Unicode MS" w:cs="Arial Unicode MS" w:eastAsia="Arial Unicode MS" w:hAnsi="Arial Unicode MS"/>
          <w:rtl w:val="0"/>
        </w:rPr>
        <w:t xml:space="preserve">3. 한국정보기술학회논문지(JKIIT)</w:t>
      </w:r>
    </w:p>
    <w:p w:rsidR="00000000" w:rsidDel="00000000" w:rsidP="00000000" w:rsidRDefault="00000000" w:rsidRPr="00000000" w14:paraId="0000000B">
      <w:pPr>
        <w:spacing w:line="276" w:lineRule="auto"/>
        <w:rPr/>
      </w:pPr>
      <w:r w:rsidDel="00000000" w:rsidR="00000000" w:rsidRPr="00000000">
        <w:rPr>
          <w:rFonts w:ascii="Arial Unicode MS" w:cs="Arial Unicode MS" w:eastAsia="Arial Unicode MS" w:hAnsi="Arial Unicode MS"/>
          <w:rtl w:val="0"/>
        </w:rPr>
        <w:t xml:space="preserve">* 수시투고, 월간(매월 말일)</w:t>
      </w:r>
    </w:p>
    <w:p w:rsidR="00000000" w:rsidDel="00000000" w:rsidP="00000000" w:rsidRDefault="00000000" w:rsidRPr="00000000" w14:paraId="0000000C">
      <w:pPr>
        <w:spacing w:line="276" w:lineRule="auto"/>
        <w:rPr/>
      </w:pPr>
      <w:r w:rsidDel="00000000" w:rsidR="00000000" w:rsidRPr="00000000">
        <w:rPr>
          <w:rFonts w:ascii="Arial Unicode MS" w:cs="Arial Unicode MS" w:eastAsia="Arial Unicode MS" w:hAnsi="Arial Unicode MS"/>
          <w:rtl w:val="0"/>
        </w:rPr>
        <w:t xml:space="preserve">* Impact Factor는 가장 높은데, 게재는 수월한 편(클로드 왈)</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Fonts w:ascii="Arial Unicode MS" w:cs="Arial Unicode MS" w:eastAsia="Arial Unicode MS" w:hAnsi="Arial Unicode MS"/>
          <w:rtl w:val="0"/>
        </w:rPr>
        <w:t xml:space="preserve">4. 한국정보통신학회논문지(JKIICE)</w:t>
      </w:r>
    </w:p>
    <w:p w:rsidR="00000000" w:rsidDel="00000000" w:rsidP="00000000" w:rsidRDefault="00000000" w:rsidRPr="00000000" w14:paraId="0000000F">
      <w:pPr>
        <w:spacing w:line="276" w:lineRule="auto"/>
        <w:rPr/>
      </w:pPr>
      <w:r w:rsidDel="00000000" w:rsidR="00000000" w:rsidRPr="00000000">
        <w:rPr>
          <w:rFonts w:ascii="Arial Unicode MS" w:cs="Arial Unicode MS" w:eastAsia="Arial Unicode MS" w:hAnsi="Arial Unicode MS"/>
          <w:rtl w:val="0"/>
        </w:rPr>
        <w:t xml:space="preserve">* 월간</w:t>
      </w:r>
    </w:p>
    <w:p w:rsidR="00000000" w:rsidDel="00000000" w:rsidP="00000000" w:rsidRDefault="00000000" w:rsidRPr="00000000" w14:paraId="00000010">
      <w:pPr>
        <w:spacing w:line="276" w:lineRule="auto"/>
        <w:rPr/>
      </w:pPr>
      <w:r w:rsidDel="00000000" w:rsidR="00000000" w:rsidRPr="00000000">
        <w:rPr>
          <w:rFonts w:ascii="Arial Unicode MS" w:cs="Arial Unicode MS" w:eastAsia="Arial Unicode MS" w:hAnsi="Arial Unicode MS"/>
          <w:rtl w:val="0"/>
        </w:rPr>
        <w:t xml:space="preserve">* 네트워크 통신 색채가 있어서 리전 간 라우팅 어필하면 좋을듯</w:t>
      </w: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SCIE 등재 학회</w:t>
      </w:r>
    </w:p>
    <w:p w:rsidR="00000000" w:rsidDel="00000000" w:rsidP="00000000" w:rsidRDefault="00000000" w:rsidRPr="00000000" w14:paraId="00000014">
      <w:pPr>
        <w:spacing w:line="276" w:lineRule="auto"/>
        <w:rPr/>
      </w:pPr>
      <w:r w:rsidDel="00000000" w:rsidR="00000000" w:rsidRPr="00000000">
        <w:rPr>
          <w:rtl w:val="0"/>
        </w:rPr>
        <w:t xml:space="preserve">1. IEEE Access</w:t>
      </w:r>
    </w:p>
    <w:p w:rsidR="00000000" w:rsidDel="00000000" w:rsidP="00000000" w:rsidRDefault="00000000" w:rsidRPr="00000000" w14:paraId="00000015">
      <w:pPr>
        <w:spacing w:line="276" w:lineRule="auto"/>
        <w:rPr/>
      </w:pPr>
      <w:r w:rsidDel="00000000" w:rsidR="00000000" w:rsidRPr="00000000">
        <w:rPr>
          <w:rFonts w:ascii="Arial Unicode MS" w:cs="Arial Unicode MS" w:eastAsia="Arial Unicode MS" w:hAnsi="Arial Unicode MS"/>
          <w:rtl w:val="0"/>
        </w:rPr>
        <w:t xml:space="preserve">* 월간투고인데, 게재료가 270만원으로 비쌈</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2. JoCCASA</w:t>
      </w:r>
    </w:p>
    <w:p w:rsidR="00000000" w:rsidDel="00000000" w:rsidP="00000000" w:rsidRDefault="00000000" w:rsidRPr="00000000" w14:paraId="00000018">
      <w:pPr>
        <w:spacing w:line="276" w:lineRule="auto"/>
        <w:ind w:left="0" w:firstLine="0"/>
        <w:rPr/>
      </w:pPr>
      <w:r w:rsidDel="00000000" w:rsidR="00000000" w:rsidRPr="00000000">
        <w:rPr>
          <w:rFonts w:ascii="Arial Unicode MS" w:cs="Arial Unicode MS" w:eastAsia="Arial Unicode MS" w:hAnsi="Arial Unicode MS"/>
          <w:rtl w:val="0"/>
        </w:rPr>
        <w:t xml:space="preserve">* 클라우드를 여러 패러다임과 함께 검토하는 연구를 다룬다고 함</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Fonts w:ascii="Arial Unicode MS" w:cs="Arial Unicode MS" w:eastAsia="Arial Unicode MS" w:hAnsi="Arial Unicode MS"/>
          <w:rtl w:val="0"/>
        </w:rPr>
        <w:t xml:space="preserve">참고한 클로드(서론~해결하려고 했던 기존 방법)</w:t>
      </w:r>
    </w:p>
    <w:p w:rsidR="00000000" w:rsidDel="00000000" w:rsidP="00000000" w:rsidRDefault="00000000" w:rsidRPr="00000000" w14:paraId="00000025">
      <w:pPr>
        <w:spacing w:line="276" w:lineRule="auto"/>
        <w:rPr/>
      </w:pPr>
      <w:r w:rsidDel="00000000" w:rsidR="00000000" w:rsidRPr="00000000">
        <w:rPr>
          <w:rFonts w:ascii="Arial Unicode MS" w:cs="Arial Unicode MS" w:eastAsia="Arial Unicode MS" w:hAnsi="Arial Unicode MS"/>
          <w:rtl w:val="0"/>
        </w:rPr>
        <w:t xml:space="preserve">1. 논문 작성 및 학회 검색</w:t>
      </w:r>
    </w:p>
    <w:p w:rsidR="00000000" w:rsidDel="00000000" w:rsidP="00000000" w:rsidRDefault="00000000" w:rsidRPr="00000000" w14:paraId="00000026">
      <w:pPr>
        <w:spacing w:line="276" w:lineRule="auto"/>
        <w:rPr/>
      </w:pPr>
      <w:hyperlink r:id="rId6">
        <w:r w:rsidDel="00000000" w:rsidR="00000000" w:rsidRPr="00000000">
          <w:rPr>
            <w:color w:val="1155cc"/>
            <w:u w:val="single"/>
            <w:rtl w:val="0"/>
          </w:rPr>
          <w:t xml:space="preserve">https://claude.ai/share/e6c15d1f-cfeb-4c4f-8f73-09dd89e1f3ff</w:t>
        </w:r>
      </w:hyperlink>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Fonts w:ascii="Arial Unicode MS" w:cs="Arial Unicode MS" w:eastAsia="Arial Unicode MS" w:hAnsi="Arial Unicode MS"/>
          <w:rtl w:val="0"/>
        </w:rPr>
        <w:t xml:space="preserve">2. 작성 검증</w:t>
      </w:r>
    </w:p>
    <w:p w:rsidR="00000000" w:rsidDel="00000000" w:rsidP="00000000" w:rsidRDefault="00000000" w:rsidRPr="00000000" w14:paraId="00000029">
      <w:pPr>
        <w:spacing w:line="276" w:lineRule="auto"/>
        <w:rPr/>
      </w:pPr>
      <w:hyperlink r:id="rId7">
        <w:r w:rsidDel="00000000" w:rsidR="00000000" w:rsidRPr="00000000">
          <w:rPr>
            <w:color w:val="1155cc"/>
            <w:u w:val="single"/>
            <w:rtl w:val="0"/>
          </w:rPr>
          <w:t xml:space="preserve">https://claude.ai/share/ae03885a-f9f4-4c6d-a1ee-6f6c49ea90f4</w:t>
        </w:r>
      </w:hyperlink>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color w:val="980000"/>
          <w:sz w:val="32"/>
          <w:szCs w:val="32"/>
        </w:rPr>
      </w:pPr>
      <w:r w:rsidDel="00000000" w:rsidR="00000000" w:rsidRPr="00000000">
        <w:rPr>
          <w:rFonts w:ascii="Arial Unicode MS" w:cs="Arial Unicode MS" w:eastAsia="Arial Unicode MS" w:hAnsi="Arial Unicode MS"/>
          <w:b w:val="1"/>
          <w:bCs w:val="1"/>
          <w:color w:val="980000"/>
          <w:sz w:val="32"/>
          <w:szCs w:val="32"/>
          <w:rtl w:val="0"/>
        </w:rPr>
        <w:t xml:space="preserve">서론(서론은 괜찮은 거 같은데…)</w:t>
      </w:r>
    </w:p>
    <w:p w:rsidR="00000000" w:rsidDel="00000000" w:rsidP="00000000" w:rsidRDefault="00000000" w:rsidRPr="00000000" w14:paraId="00000031">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문단 1</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데이터센터가 소비하는 전력이 빠르게 늘고 있다. 국제에너지기구는 2024년 약 415TWh였던 전 세계 데이터센터 전력 소비가 2030년 945TWh에 이를 것으로 전망했으며, AI를 가장 큰 요인으로 지목했다.</w:t>
        <w:br w:type="textWrapping"/>
      </w:r>
      <w:hyperlink r:id="rId8">
        <w:r w:rsidDel="00000000" w:rsidR="00000000" w:rsidRPr="00000000">
          <w:rPr>
            <w:color w:val="1155cc"/>
            <w:u w:val="single"/>
            <w:rtl w:val="0"/>
          </w:rPr>
          <w:t xml:space="preserve"> https://www.iea.org/reports/energy-and-ai/executive-summary</w:t>
          <w:br w:type="textWrapping"/>
        </w:r>
      </w:hyperlink>
      <w:r w:rsidDel="00000000" w:rsidR="00000000" w:rsidRPr="00000000">
        <w:rPr>
          <w:rFonts w:ascii="Arial Unicode MS" w:cs="Arial Unicode MS" w:eastAsia="Arial Unicode MS" w:hAnsi="Arial Unicode MS"/>
          <w:rtl w:val="0"/>
        </w:rPr>
        <w:t xml:space="preserve"> — 원문: "Data centre electricity consumption is set to more than double to around 945 TWh by 2030… AI is the most important driver of this growth"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EU는 개정 에너지효율지침 제12조와 이를 구체화한 위임 규정을 통해 IT 전력 수요 500kW 이상 데이터센터에 에너지 성능 지표를 EU 공동 데이터베이스에 보고하도록 의무화했다.</w:t>
        <w:br w:type="textWrapping"/>
        <w:t xml:space="preserve"> </w:t>
      </w:r>
      <w:hyperlink r:id="rId9">
        <w:r w:rsidDel="00000000" w:rsidR="00000000" w:rsidRPr="00000000">
          <w:rPr>
            <w:color w:val="1155cc"/>
            <w:u w:val="single"/>
            <w:rtl w:val="0"/>
          </w:rPr>
          <w:t xml:space="preserve">https://eur-lex.europa.eu/legal-content/EN/TXT/HTML/?uri=CELEX:32023L1791</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에너지 사용의 투명성이 규제 대상이 된 이상, 소비 전력과 그에 따른 탄소 배출을 줄이는 일은 운영상의 과제가 되었다.</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문단 2</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통상적인 대응은 설비 효율 개선과 저탄소 전원 조달이다. 그러나 두 방법 모두 수요 증가 속도를 따라잡기 어렵다. IEA는 효율 개선을 크게 가정한 High Efficiency Case에서도 2035년 데이터센터 전력 수요가 Base Case 대비 20% 낮아지는 데 그친다고 분석했다.</w:t>
        <w:br w:type="textWrapping"/>
      </w:r>
      <w:hyperlink r:id="rId10">
        <w:r w:rsidDel="00000000" w:rsidR="00000000" w:rsidRPr="00000000">
          <w:rPr>
            <w:color w:val="1155cc"/>
            <w:u w:val="single"/>
            <w:rtl w:val="0"/>
          </w:rPr>
          <w:t xml:space="preserve"> https://www.iea.org/reports/energy-and-ai/executive-summary</w:t>
          <w:br w:type="textWrapping"/>
        </w:r>
      </w:hyperlink>
      <w:r w:rsidDel="00000000" w:rsidR="00000000" w:rsidRPr="00000000">
        <w:rPr>
          <w:rFonts w:ascii="Arial Unicode MS" w:cs="Arial Unicode MS" w:eastAsia="Arial Unicode MS" w:hAnsi="Arial Unicode MS"/>
          <w:rtl w:val="0"/>
        </w:rPr>
        <w:t xml:space="preserve"> — 원문: "In this case, electricity demand from data centres is 20% lower in 2035 than in the Base Case."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저탄소 전원 조달 역시 완전한 해법은 아니다. IEA Base Case에서 데이터센터 수요 증가분의 절반은 재생에너지로, 나머지는 천연가스 175TWh와 이와 비슷한 규모의 원자력으로 충당되며, 그 결과 데이터센터 전력 사용에 따른 배출량은 연 1억 8천만 톤에서 2035년 3억 톤으로 증가한다. IEA는 이것이 같은 기간 에너지 부문 전체 배출의 1.5% 미만이면서도 가장 빠르게 증가하는 배출원 중 하나라고 평가한다.</w:t>
        <w:br w:type="textWrapping"/>
      </w:r>
      <w:hyperlink r:id="rId11">
        <w:r w:rsidDel="00000000" w:rsidR="00000000" w:rsidRPr="00000000">
          <w:rPr>
            <w:color w:val="1155cc"/>
            <w:u w:val="single"/>
            <w:rtl w:val="0"/>
          </w:rPr>
          <w:t xml:space="preserve"> https://www.iea.org/reports/energy-and-ai/executive-summary</w:t>
          <w:br w:type="textWrapping"/>
        </w:r>
      </w:hyperlink>
      <w:r w:rsidDel="00000000" w:rsidR="00000000" w:rsidRPr="00000000">
        <w:rPr>
          <w:rFonts w:ascii="Arial Unicode MS" w:cs="Arial Unicode MS" w:eastAsia="Arial Unicode MS" w:hAnsi="Arial Unicode MS"/>
          <w:rtl w:val="0"/>
        </w:rPr>
        <w:t xml:space="preserve"> — 원문: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더욱이 재생에너지 조달은 통상 연간 소비량 단위로 이루어진다. GHG Protocol Scope 2의 시장 기반 방식에서는 연간 소비량에 상응하는 재생에너지를 구매한 사업자가 해당 시장에서 배출량을 0으로 보고할 수 있다. 그러나 전력 소비의 탄소 발자국은 그 시각에 가동 중인 발전원 구성에 따라 시간별로 달라지므로, 연간 단위 조달만으로는 시간별 격차를 해소할 수 없다. 구글이 매시간 무탄소 전력 매칭을 목표로 하는 24/7 CFE로 전환한 이유가 여기에 있다.</w:t>
        <w:br w:type="textWrapping"/>
      </w:r>
      <w:hyperlink r:id="rId12">
        <w:r w:rsidDel="00000000" w:rsidR="00000000" w:rsidRPr="00000000">
          <w:rPr>
            <w:color w:val="1155cc"/>
            <w:u w:val="single"/>
            <w:rtl w:val="0"/>
          </w:rPr>
          <w:t xml:space="preserve">https://www.gstatic.com/gumdrop/sustainability/24x7-carbon-free-energy-methodologies-metrics.pdf</w:t>
          <w:br w:type="textWrapping"/>
        </w:r>
      </w:hyperlink>
      <w:r w:rsidDel="00000000" w:rsidR="00000000" w:rsidRPr="00000000">
        <w:rPr>
          <w:rFonts w:ascii="Arial Unicode MS" w:cs="Arial Unicode MS" w:eastAsia="Arial Unicode MS" w:hAnsi="Arial Unicode MS"/>
          <w:rtl w:val="0"/>
        </w:rPr>
        <w:t xml:space="preserve"> — Google, "24/7 Carbon-Free Energy: Methodologies and Metrics," 2021</w:t>
        <w:br w:type="textWrapping"/>
        <w:t xml:space="preserve"> — 원문: "The carbon footprint of our electricity consumption varies hourly, depending on the mix of electricity generation sources operating in a particular hour"</w:t>
        <w:br w:type="textWrapping"/>
        <w:t xml:space="preserve"> — 원문: "a company that purchases renewable electricity… in an amount equivalent to their annual consumption within the same market can claim that their electricity consumption resulted in zero emissions in that market"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게다가 전력망 자체가 제약이다. IEA는 이러한 위험이 해소되지 않으면 계획된 데이터센터 프로젝트의 약 20%가 지연될 수 있다고 보았으며, 선진국에서 신규 송전선 건설에 4~8년이 소요되고 변압기·케이블 등 핵심 부품의 대기 기간은 최근 3년 사이 두 배로 늘었다고 지적했다.</w:t>
        <w:br w:type="textWrapping"/>
      </w:r>
      <w:hyperlink r:id="rId13">
        <w:r w:rsidDel="00000000" w:rsidR="00000000" w:rsidRPr="00000000">
          <w:rPr>
            <w:color w:val="1155cc"/>
            <w:u w:val="single"/>
            <w:rtl w:val="0"/>
          </w:rPr>
          <w:t xml:space="preserve"> https://www.iea.org/reports/energy-and-ai/executive-summary</w:t>
          <w:br w:type="textWrapping"/>
        </w:r>
      </w:hyperlink>
      <w:r w:rsidDel="00000000" w:rsidR="00000000" w:rsidRPr="00000000">
        <w:rPr>
          <w:rFonts w:ascii="Arial Unicode MS" w:cs="Arial Unicode MS" w:eastAsia="Arial Unicode MS" w:hAnsi="Arial Unicode MS"/>
          <w:rtl w:val="0"/>
        </w:rPr>
        <w:t xml:space="preserve"> — 원문: "around 20% of planned data centre projects could be at risk of delays" / "Building new transmission lines can take four to eight years" / "wait times for critical grid components such as transformers and cables have doubled in the past three years"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따라서 이미 가동 중인 인프라를 대상으로, 신규 설비 투자 없이 단기간에 적용 가능한 감축 수단이 별도로 필요하다.</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문단 3</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그러나 배출량을 결정하는 것은 소비 전력량만이 아니다. 전력 1kWh를 생산할 때 배출되는 탄소량, 즉 탄소집약도는 그 순간 전력망의 발전원 구성에 따라 정해진다. 화석연료 기반 발전은 탄소 가중치가 높고 재생에너지와 원자력은 낮거나 0이므로, 발전 믹스의 구성 비율이 곧 탄소집약도가 된다.</w:t>
        <w:br w:type="textWrapping"/>
      </w:r>
      <w:hyperlink r:id="rId14">
        <w:r w:rsidDel="00000000" w:rsidR="00000000" w:rsidRPr="00000000">
          <w:rPr>
            <w:color w:val="1155cc"/>
            <w:u w:val="single"/>
            <w:rtl w:val="0"/>
          </w:rPr>
          <w:t xml:space="preserve"> https://doi.org/10.1145/3634769.3634812</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이 값은 지역에 따라, 그리고 같은 지역 안에서도 시각에 따라 달라진다. 선행 연구는 2022년 여섯 개 클라우드 리전에서 약 6배의 공간적 격차를 관측했으며, 시간적으로도 프랑스에서 연간 4배, 독일과 캘리포니아에서 6~8배의 변동을 보고했다.</w:t>
        <w:br w:type="textWrapping"/>
      </w:r>
      <w:hyperlink r:id="rId15">
        <w:r w:rsidDel="00000000" w:rsidR="00000000" w:rsidRPr="00000000">
          <w:rPr>
            <w:color w:val="1155cc"/>
            <w:u w:val="single"/>
            <w:rtl w:val="0"/>
          </w:rPr>
          <w:t xml:space="preserve"> https://doi.org/10.1145/3634769.3634812</w:t>
          <w:br w:type="textWrapping"/>
        </w:r>
      </w:hyperlink>
      <w:r w:rsidDel="00000000" w:rsidR="00000000" w:rsidRPr="00000000">
        <w:rPr>
          <w:rFonts w:ascii="Arial Unicode MS" w:cs="Arial Unicode MS" w:eastAsia="Arial Unicode MS" w:hAnsi="Arial Unicode MS"/>
          <w:rtl w:val="0"/>
        </w:rPr>
        <w:t xml:space="preserve"> — 원문: "6× spatial variations" / "4× variation over a year in France, and an even higher 6-8× variation in Germany and California"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본 연구가 대상으로 삼은 8개 리전에서도 유사한 규모의 격차가 관측되었다.</w:t>
        <w:br w:type="textWrapping"/>
        <w:t xml:space="preserve"> 2025년 실측 기준 연평균 탄소집약도는 인도가 542.9 gCO₂/kWh, 프랑스가 13.5 gCO₂/kWh로 40.1배의 공간적 격차를 보인다. 시간적으로는 리전 내 하루 최댓값과 최솟값의 비가 캘리포니아 3.58배, 독일 2.41배, 프랑스 2.33배, 텍사스 1.79배로 나타나며, 한국 1.17배와 뉴욕 1.14배처럼 변동이 작은 리전도 있다.</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즉 동일한 작업이라도 어느 리전에서 언제 실행하느냐에 따라 배출량이 달라진다. 선행 연구는 이 차이가 작업당 최대 8배에 이를 수 있다고 지적했다.</w:t>
        <w:br w:type="textWrapping"/>
      </w:r>
      <w:hyperlink r:id="rId16">
        <w:r w:rsidDel="00000000" w:rsidR="00000000" w:rsidRPr="00000000">
          <w:rPr>
            <w:color w:val="1155cc"/>
            <w:u w:val="single"/>
            <w:rtl w:val="0"/>
          </w:rPr>
          <w:t xml:space="preserve"> https://doi.org/10.1145/3634769.3634812</w:t>
          <w:br w:type="textWrapping"/>
        </w:r>
      </w:hyperlink>
      <w:r w:rsidDel="00000000" w:rsidR="00000000" w:rsidRPr="00000000">
        <w:rPr>
          <w:rFonts w:ascii="Arial Unicode MS" w:cs="Arial Unicode MS" w:eastAsia="Arial Unicode MS" w:hAnsi="Arial Unicode MS"/>
          <w:rtl w:val="0"/>
        </w:rPr>
        <w:t xml:space="preserve"> — 원문: "the carbon footprint of a job can be up to 8× higher depending on whether it is executed during a high or low carbon-intensity period"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이 차이를 활용할 조건은 이미 갖추어져 있다. 클라우드 서비스는 다수 리전에 분산 배치되어 있으며, AI 모델 학습이나 로그 처리 같은 배치성 작업은 완료 시점에 유연성이 있어 시간 이동이 가능하다.</w:t>
        <w:br w:type="textWrapping"/>
      </w:r>
      <w:hyperlink r:id="rId17">
        <w:r w:rsidDel="00000000" w:rsidR="00000000" w:rsidRPr="00000000">
          <w:rPr>
            <w:color w:val="1155cc"/>
            <w:u w:val="single"/>
            <w:rtl w:val="0"/>
          </w:rPr>
          <w:t xml:space="preserve"> https://doi.org/10.1145/3634769.3634812</w:t>
          <w:br w:type="textWrapping"/>
        </w:r>
      </w:hyperlink>
      <w:r w:rsidDel="00000000" w:rsidR="00000000" w:rsidRPr="00000000">
        <w:rPr>
          <w:rFonts w:ascii="Arial Unicode MS" w:cs="Arial Unicode MS" w:eastAsia="Arial Unicode MS" w:hAnsi="Arial Unicode MS"/>
          <w:rtl w:val="0"/>
        </w:rPr>
        <w:t xml:space="preserve"> — 원문: "batch jobs such as AI and machine learning often have flexible completion requirements and can accommodate temporal variations"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두 축의 결합 효과는 공간 이동의 목적지가 어디로 정해지는지에 달려 있다. 공간 이동의 이득은 목적지 리전의 평균 탄소집약도가, 시간 이동의 이득은 그 리전에 남은 변동 폭이 결정하기 때문이다. 본 논문은 리전별 용량이 유한한 조건에서 이 조합이 어떻게 달라지는지 검증한다.</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문단 4 </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시스템 구현 연구는 대체로 두 축 중 하나에 집중해 왔고, 두 축을 함께 다룬 분석 연구는 특정 가정 아래 결론을 내렸다. 선행 문헌 검토는 28편의 관련 연구 가운데 공간과 시간을 함께 고려한 것이 11편이며, 그중 결합 최적화 알고리즘을 제시한 것은 2편에 그친다고 보고한다. https://doi.org/10.3390/su17146433 — Asadov, Coroamă, Franzil, Galantino, Finkbeiner, Sustainability 17(14):6433, 2025 — 원문: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시간 축에서는 구글의 CICS가 대표적이다. 탄소집약도 예보와 수요 예측을 결합한 위험 인지 최적화로 시간별 가상 용량 곡선을 산출하여 유연한 작업의 실행을 저탄소 시간대로 미루며, 구글 전 데이터센터 클러스터를 대상으로 프로덕션 배포되어 있다. 운영 데이터에서 탄소집약도가 가장 높은 시간대의 전력 소비가 1~2% 감소했다. 저자들은 결론에서 공간 이동으로의 확장을 예고했다.</w:t>
      </w:r>
    </w:p>
    <w:p w:rsidR="00000000" w:rsidDel="00000000" w:rsidP="00000000" w:rsidRDefault="00000000" w:rsidRPr="00000000" w14:paraId="00000056">
      <w:pPr>
        <w:rPr>
          <w:color w:val="1155cc"/>
          <w:u w:val="single"/>
        </w:rPr>
      </w:pPr>
      <w:hyperlink r:id="rId18">
        <w:r w:rsidDel="00000000" w:rsidR="00000000" w:rsidRPr="00000000">
          <w:rPr>
            <w:color w:val="1155cc"/>
            <w:u w:val="single"/>
            <w:rtl w:val="0"/>
          </w:rPr>
          <w:t xml:space="preserve">https://arxiv.org/pdf/2106.11750</w:t>
        </w:r>
      </w:hyperlink>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원문: "generate the next day's carbon-aware Virtual Capacity Curves (VCCs) for all datacenter clusters across Google's fleet"</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원문: "we demonstrate a power consumption drop of 1-2% at times with the highest carbon intensity"</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원문: "which shifts datacenter computing in time and will soon also shift computing in space"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공간 축에서는 CASPER가 웹 요청을 탄소집약도가 낮은 리전으로 라우팅하며, 저자들은 시간적 변동의 활용 가능성을 인정하면서도 본 연구는 공간적 변동의 활용에 집중한다고 명시했다.</w:t>
        <w:br w:type="textWrapping"/>
      </w:r>
      <w:hyperlink r:id="rId19">
        <w:r w:rsidDel="00000000" w:rsidR="00000000" w:rsidRPr="00000000">
          <w:rPr>
            <w:color w:val="1155cc"/>
            <w:u w:val="single"/>
            <w:rtl w:val="0"/>
          </w:rPr>
          <w:t xml:space="preserve"> https://doi.org/10.1145/3634769.3634812</w:t>
          <w:br w:type="textWrapping"/>
        </w:r>
      </w:hyperlink>
      <w:r w:rsidDel="00000000" w:rsidR="00000000" w:rsidRPr="00000000">
        <w:rPr>
          <w:rFonts w:ascii="Arial Unicode MS" w:cs="Arial Unicode MS" w:eastAsia="Arial Unicode MS" w:hAnsi="Arial Unicode MS"/>
          <w:rtl w:val="0"/>
        </w:rPr>
        <w:t xml:space="preserve"> — 원문: "our current work primarily focuses on exploiting spatial variations"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VMware의 Avi GSLB에 탄소 인지 기능을 부여한 연구도 같은 축에 속한다.</w:t>
        <w:br w:type="textWrapping"/>
      </w:r>
      <w:hyperlink r:id="rId20">
        <w:r w:rsidDel="00000000" w:rsidR="00000000" w:rsidRPr="00000000">
          <w:rPr>
            <w:color w:val="1155cc"/>
            <w:u w:val="single"/>
            <w:rtl w:val="0"/>
          </w:rPr>
          <w:t xml:space="preserve"> https://dl.acm.org/doi/10.1145/3604930.3605711</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또한 이들 시스템은 탄소와 그 밖의 목적 사이의 가중치를 고정 상수로 둔다. CASPER는 탄소와 서버 프로비저닝 비용 사이의 가중치를 실험 전반에서 0.5로 고정하며(지연은 별도의 상한 제약으로 처리한다), 저자들 스스로 다른 값에서는 결과가 달라질 것이라고 밝혔다. CICS 역시 탄소 비용과 피크 전력 인프라 비용의 가중합을 목적함수로 두며, 두 항의 상대적 비중에 따라 최적화 결과가 달라진다고 논한다.</w:t>
      </w:r>
    </w:p>
    <w:p w:rsidR="00000000" w:rsidDel="00000000" w:rsidP="00000000" w:rsidRDefault="00000000" w:rsidRPr="00000000" w14:paraId="00000060">
      <w:pPr>
        <w:rPr>
          <w:color w:val="1155cc"/>
          <w:u w:val="single"/>
        </w:rPr>
      </w:pPr>
      <w:hyperlink r:id="rId21">
        <w:r w:rsidDel="00000000" w:rsidR="00000000" w:rsidRPr="00000000">
          <w:rPr>
            <w:color w:val="1155cc"/>
            <w:u w:val="single"/>
            <w:rtl w:val="0"/>
          </w:rPr>
          <w:t xml:space="preserve">https://doi.org/10.1145/3634769.3634812</w:t>
        </w:r>
      </w:hyperlink>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원문: "α = 0.5 (equal weights)" / "results would change with other α values"</w:t>
      </w:r>
    </w:p>
    <w:p w:rsidR="00000000" w:rsidDel="00000000" w:rsidP="00000000" w:rsidRDefault="00000000" w:rsidRPr="00000000" w14:paraId="00000062">
      <w:pPr>
        <w:rPr>
          <w:color w:val="1155cc"/>
          <w:u w:val="single"/>
        </w:rPr>
      </w:pPr>
      <w:hyperlink r:id="rId22">
        <w:r w:rsidDel="00000000" w:rsidR="00000000" w:rsidRPr="00000000">
          <w:rPr>
            <w:color w:val="1155cc"/>
            <w:u w:val="single"/>
            <w:rtl w:val="0"/>
          </w:rPr>
          <w:t xml:space="preserve">https://arxiv.org/pdf/2106.11750</w:t>
        </w:r>
      </w:hyperlink>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원문: "The optimization outcome changes depending on the desired tradeoffs between carbon footprint and efficiency"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그러나 리전 간 탄소집약도 격차는 시각에 따라 변하므로, 옮길 이득이 큰 시간과 그렇지 않은 시간에 동일한 가중치를 적용하는 것은 최적이라 보기 어렵다.</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한편 Sukprasert 등은 123개 리전의 3년치(2020~2022) 탄소집약도 데이터로 시공간 이동의 상한을 분석하여, 이상적 조건에서의 절감 잠재력이 실제 제약 아래에서는 크게 축소된다고 보고했다. 특히 공간과 시간 이동을 결합할 경우 공간 이동의 절감이 지배적이며 시간 이동의 추가 이득은 제한적이라고 결론지었다. 같은 연구는 전 리전이 50% 가동률일 때 공간 이동 절감이 이상적 조건 대비 1.9배 감소한다는 점도 보였다. 즉 용량은 공간 이동의 이득을 크게 좌우하는 변수다.</w:t>
        <w:br w:type="textWrapping"/>
      </w:r>
      <w:hyperlink r:id="rId23">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원문: "savings from spatial migration dominate the overall savings, with limited additional benefits from performing temporal shifting"</w:t>
        <w:br w:type="textWrapping"/>
        <w:t xml:space="preserve"> — 원문: "For a mean utilization of 50%, the global average carbon reductions drop to 51.5%, a 1.9× decrease when compared to our ideal case"</w:t>
        <w:br w:type="textWrapping"/>
        <w:t xml:space="preserve"> — 원문: "carbon-intensity traces for 123 different geographical regions worldwide from 2020 to 2022 using the Electricity Maps web API"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그럼에도 두 축의 결합 분석에서는 용량 제약을 두지 않는다. 다만 저자들은 공간 이득이 낮음에도 높은 시간 변동 덕분에 순 절감이 유의미한 예외로 캘리포니아와 버지니아를 지목했다. 이는 목적지가 고변동 리전일 때 시간 이동이 실질적으로 기여함을 시사한다. 용량 제약이 없는 설정에서는 부하가 저탄소·저변동 리전에 우선 수용되어 이러한 예외가 소수에 머물지만, 리전별 용량이 유한하고 여유율 제약으로 공간 이동이 조기에 포화되는 조건에서는 부하가 고변동 리전까지 확산되어 이 예외가 일반적 상황이 될 수 있다. (⚠ 이 가설은 용량 스윕 중간 결과와 방향이 반대로 나오는 중임. C=16에서 시간 이동 기여 5.84%p, C=64에서 20.30%p — 용량을 조일수록 오히려 줄어듦. M3 잔여 4점 나오면 이 문단 전체를 다시 쓸 것. 원인 추정: 이질 용량을 뺀 탓에 "캘리포니아만 상대적으로 여유롭다"는 전제가 사라짐)</w:t>
        <w:br w:type="textWrapping"/>
      </w:r>
      <w:hyperlink r:id="rId24">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원문: "there are some exceptions where regions have low spatial gains and high temporal gains and yet result in relatively high net carbon reductions, such as California (US-CA) and Virginia (US-VA)"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한편 클러스터 단위 접근으로는 CarbonFlex가 있다. 클러스터 용량 제약을 명시적으로 다루며, 개별 작업 단위의 선행 연구가 이를 고려하지 않는다는 점과, 용량 제약을 두지 않으면 모든 작업이 동일한 저탄소 시각으로 실행을 미루는 문제가 발생한다는 점을 지적했다. 다만 이 연구는 단일 클러스터 내 시간 이동과 자원 탄력성에 한정되며, 리전 간 공간 이동은 다루지 않는다.</w:t>
      </w:r>
    </w:p>
    <w:p w:rsidR="00000000" w:rsidDel="00000000" w:rsidP="00000000" w:rsidRDefault="00000000" w:rsidRPr="00000000" w14:paraId="0000006B">
      <w:pPr>
        <w:rPr>
          <w:color w:val="1155cc"/>
          <w:u w:val="single"/>
        </w:rPr>
      </w:pPr>
      <w:hyperlink r:id="rId25">
        <w:r w:rsidDel="00000000" w:rsidR="00000000" w:rsidRPr="00000000">
          <w:rPr>
            <w:color w:val="1155cc"/>
            <w:u w:val="single"/>
            <w:rtl w:val="0"/>
          </w:rPr>
          <w:t xml:space="preserve">https://arxiv.org/abs/2505.18357</w:t>
        </w:r>
      </w:hyperlink>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원문: "clusters have a capacity limit that prior work on optimizing individual jobs in the cloud does not consider."</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본 논문은 리전별 용량이 유한하고 여유율 제약이 존재하는 조건에서 공간과 시간 이동을 결합하여, 두 축의 결합 효과를 재검토한다.</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문단 5</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본 논문은 탄소 인지 스케줄링 시스템 CAST를 제안한다. CAST는 LSTM으로 8개 리전의 향후 24시간 탄소집약도를 예측하고, 정수 선형 계획법 기반 로드밸런서가 실행 리전을 결정한 뒤, 스케줄러가 각 작업의 마감 이내에서 실행 시각을 결정한다.</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기여는 다음 네 가지다.</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첫째, 공간 이동과 시간 이동을 단일 파이프라인으로 결합하고, 두 축의 절감 효과가 누적됨을 1년치 실측 데이터로 확인했다.</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둘째, 공간 축의 탄소–지연 가중치를 매 슬롯 파레토 무릎점으로 자동 결정하고, 시간 축의 가중치는 작업이 신고한 지연 등급의 함수로 정의한다.</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pPr>
        <w:rPr/>
      </w:pPr>
      <w:r w:rsidDel="00000000" w:rsidR="00000000" w:rsidRPr="00000000">
        <w:rPr>
          <w:rFonts w:ascii="Arial Unicode MS" w:cs="Arial Unicode MS" w:eastAsia="Arial Unicode MS" w:hAnsi="Arial Unicode MS"/>
          <w:rtl w:val="0"/>
        </w:rPr>
        <w:t xml:space="preserve">셋째, 시간 이동 단계가 리전 용량을 고려하지 않을 때 특정 리전에 실행이 집중되는 현상을 실측했다. 공간 이동만 적용한 상태에서는 8개 리전 전부가 여유율 상한인 동시 실행 12건 이하를 유지하나, 시간 이동을 적용하면 프랑스와 캘리포니아에서 동시 실행 수가 41건으로 상한의 3.4배에 이르며 연중 각각 622시간과 867시간 동안 상한을 초과한다. 선행 연구는 이 현상을 단일 클러스터 맥락에서 지적하였으나 정량화하지 않았다. 해당 서술이 근거로 인용하는 문헌은 운영체제 커널의 프로세스 동기화를 다룬 1990년 연구다. 같은 연구는 클러스터 용량 한도를 세 수준으로 변화시켜 실험하나 그 대상은 단일 클러스터이며 리전 간 공간 이동을 다루지 않는다. https://arxiv.org/abs/2505.18357 — 원문: "Considering a capacity limit is important to avoid a 'thundering herd' problem where all jobs defer their execution to the same low-carbon time and potentially exceed the cluster's capacity." </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넷째, 배치 결정은 예측값으로 수행하되 배출량 산정은 실측값으로 하여, 예측 오차의 대가가 결과에 반영되도록 했다.</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1년치 실측 탄소집약도 데이터를 사용한 시뮬레이션에서 총 배출량이 최대 65.93% 감소하였다. 다만 이 값은 시간 이동 단계가 리전 용량을 지키지 않은 조건에서 얻어진 것이다. 배치가 결정된 뒤에 용량을 사후에 강제하면 59.37%가 되며, 실현 가능한 절감은 이 두 값 사이에 있다. 작업 146,000건 전량이 마감 이내에 처리되어 마감 위반은 발생하지 않았다. (스케줄러에도 용량 제약을 넣어야 하는데 코드 수정은 일단 하지 않기로 함. 향후 과제로 뺄 것)</w:t>
      </w: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rPr>
          <w:b w:val="1"/>
          <w:bCs w:val="1"/>
          <w:color w:val="980000"/>
          <w:sz w:val="32"/>
          <w:szCs w:val="32"/>
        </w:rPr>
      </w:pPr>
      <w:r w:rsidDel="00000000" w:rsidR="00000000" w:rsidRPr="00000000">
        <w:rPr>
          <w:rFonts w:ascii="Arial Unicode MS" w:cs="Arial Unicode MS" w:eastAsia="Arial Unicode MS" w:hAnsi="Arial Unicode MS"/>
          <w:b w:val="1"/>
          <w:bCs w:val="1"/>
          <w:color w:val="980000"/>
          <w:sz w:val="32"/>
          <w:szCs w:val="32"/>
          <w:rtl w:val="0"/>
        </w:rPr>
        <w:t xml:space="preserve">배경 지식(배경 지식은 제가 봐도 잘 모르겠네요….)</w:t>
      </w:r>
    </w:p>
    <w:p w:rsidR="00000000" w:rsidDel="00000000" w:rsidP="00000000" w:rsidRDefault="00000000" w:rsidRPr="00000000" w14:paraId="00000080">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탄소집약도의 시공간적 특성</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CAST는 8개 리전을 대상으로 한다. 미국 3개(캘리포니아, 텍사스, 뉴욕), 유럽 2개(프랑스, 독일), 아시아 3개(한국, 일본, 인도)로, 발전원 구성이 상이하고 미주·유럽·아시아 세 시간대 그룹에 걸치도록 선정하였다. 한국과 일본, 프랑스와 독일은 각각 동일한 표준시를 공유하므로 일주기의 위상이 정렬되어 있어, 동일 시각에서의 공간 격차를 직접 비교할 수 있는 쌍으로 기능한다. 탄소집약도 실측값은 Electricity Maps API를 통해 1시간 해상도로 수집하였다.</w:t>
        <w:br w:type="textWrapping"/>
      </w:r>
      <w:hyperlink r:id="rId26">
        <w:r w:rsidDel="00000000" w:rsidR="00000000" w:rsidRPr="00000000">
          <w:rPr>
            <w:color w:val="1155cc"/>
            <w:u w:val="single"/>
            <w:rtl w:val="0"/>
          </w:rPr>
          <w:t xml:space="preserve"> https://www.electricitymaps.com/data-portal</w:t>
        </w:r>
      </w:hyperlink>
      <w:r w:rsidDel="00000000" w:rsidR="00000000" w:rsidRPr="00000000">
        <w:rPr>
          <w:rtl w:val="0"/>
        </w:rPr>
      </w:r>
    </w:p>
    <w:p w:rsidR="00000000" w:rsidDel="00000000" w:rsidP="00000000" w:rsidRDefault="00000000" w:rsidRPr="00000000" w14:paraId="00000082">
      <w:pPr>
        <w:rPr/>
      </w:pPr>
      <w:hyperlink r:id="rId27">
        <w:r w:rsidDel="00000000" w:rsidR="00000000" w:rsidRPr="00000000">
          <w:rPr>
            <w:color w:val="1155cc"/>
            <w:u w:val="single"/>
            <w:rtl w:val="0"/>
          </w:rPr>
          <w:br w:type="textWrapping"/>
        </w:r>
      </w:hyperlink>
      <w:r w:rsidDel="00000000" w:rsidR="00000000" w:rsidRPr="00000000">
        <w:rPr>
          <w:rtl w:val="0"/>
        </w:rPr>
      </w:r>
    </w:p>
    <w:p>
      <w:pPr>
        <w:jc w:val="center"/>
        <w:rPr/>
      </w:pPr>
      <w:r>
        <w:rPr>
          <w:rtl w:val="0"/>
        </w:rPr>
        <w:drawing>
          <wp:inline distT="0" distB="0" distL="0" distR="0">
            <wp:extent cx="5000000" cy="2917000"/>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CASTF1"/>
                    <a:stretch>
                      <a:fillRect/>
                    </a:stretch>
                  </pic:blipFill>
                  <pic:spPr>
                    <a:xfrm>
                      <a:off x="0" y="0"/>
                      <a:ext cx="5000000" cy="2917000"/>
                    </a:xfrm>
                    <a:prstGeom prst="rect">
                      <a:avLst/>
                    </a:prstGeom>
                  </pic:spPr>
                </pic:pic>
              </a:graphicData>
            </a:graphic>
          </wp:inline>
        </w:drawing>
      </w:r>
    </w:p>
    <w:p>
      <w:pPr>
        <w:jc w:val="center"/>
        <w:rPr>
          <w:sz w:val="18"/>
          <w:szCs w:val="18"/>
        </w:rPr>
      </w:pPr>
      <w:r>
        <w:rPr>
          <w:rFonts w:ascii="Arial Unicode MS" w:cs="Arial Unicode MS" w:eastAsia="Arial Unicode MS" w:hAnsi="Arial Unicode MS"/>
          <w:sz w:val="18"/>
          <w:szCs w:val="18"/>
          <w:rtl w:val="0"/>
        </w:rPr>
        <w:t xml:space="preserve">그림 2. 대상 8개 리전의 시각별 평균 탄소집약도 (2025년 실측, UTC 기준, 세로축 로그 척도).</w:t>
      </w:r>
    </w:p>
    <w:p>
      <w:pPr>
        <w:rPr/>
      </w:pPr>
      <w:r>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그림 2는</w:t>
        <w:br w:type="textWrapping"/>
        <w:t xml:space="preserve"> 대상 리전의 탄소집약도 일주기를 나타낸다. 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br w:type="textWrapping"/>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이러한 관측은 선행 연구와 일치한다. Sukprasert 등은 123개 리전을 분석하여 지역 간 43배 이상의 격차(온타리오와 뭄바이 간, 탄소 트레이스 기준)와 2022년 평균 탄소집약도 기준 40배의 차이를 보고하였다. 예시로 제시된 캘리포니아 트레이스에서는 하루 중 2배의 변동이 나타난다. 또한 화석연료 기반 계통은 평균 탄소집약도가 높고 변동성이 낮은 반면, 풍력·태양광 비중이 높은 계통은 그 반대의 특성을 보인다고 설명하였다.</w:t>
        <w:br w:type="textWrapping"/>
      </w:r>
      <w:hyperlink r:id="rId28">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원문: "can vary by 2× over a day (in California) and by over 43× across regions (between Ontario and Mumbai)"</w:t>
        <w:br w:type="textWrapping"/>
        <w:t xml:space="preserve"> — 원문(§4.1): "there is a 40× difference in average CI between the highest and lowest regions"</w:t>
        <w:br w:type="textWrapping"/>
        <w:t xml:space="preserve"> — 원문: "grids that derive electricity from such sources exhibit low variations in carbon-intensity. Conversely, grids with higher fractions of intermittent sources, such as wind and solar, exhibit higher variations"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클라우드 작업의 지연 허용도</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클라우드 작업은 지연 허용도에 따라 두 부류로 나뉜다. 데이터 처리, 기계학습 학습, 시뮬레이션 등 배치성 작업은 처리량을 중시하고 엄격한 지연 요구가 없어 실행 시점을 미루거나 중단·재개할 수 있다. 반면 웹 요청이나 추론 요청과 같은 대화형 작업은 즉시 응답해야 하므로 시간 유연성이 없으나, 다른 데이터센터로 라우팅하는 공간 유연성은 갖는다.</w:t>
        <w:br w:type="textWrapping"/>
      </w:r>
      <w:hyperlink r:id="rId29">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원문: "batch and interactive – each with its own dimensions and degrees of spatiotemporal flexibility"</w:t>
        <w:br w:type="textWrapping"/>
        <w:t xml:space="preserve"> — 원문: "While such requests cannot be delayed and have no temporal flexibility, they can often be flexibly routed to different datacenters"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이러한 구분은 이미 실무 스케줄러에 반영되어 있다. Borg, 쿠버네티스, Slurm과 같은 클러스터 스케줄러는 우선순위가 높은 요청을 처리하기 위해 배치 작업을 지연시키거나 중단한다. 다만 이는 우선순위 기반 선점 기제이며, 작업별 최대 허용 지연을 명시하는 것과는 다르다. 실제로 선행 연구도 여유 시간을 24시간에서 1년까지 변화시키는 가정 파라미터로 다룬다. 그러나 Slurm은 작업이 종료되어야 할 시각을 지정하는 --deadline 옵션과 실행 시작 가능 시각을 지정하는 --begin 옵션을 제공하므로, 시간 정보를 담는 기제 자체는 이미 존재한다. CAST가 지연민감도를 제출 시 등급 형태로 입력받는 것은 운영상 큰 부담이 아니라고 본다.</w:t>
        <w:br w:type="textWrapping"/>
      </w:r>
      <w:hyperlink r:id="rId30">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원문: "Cluster schedulers, such as Google's Borg, Kubernetes, and Slurm, often defer or interrupt batch jobs to satisfy higher-priority requests"</w:t>
        <w:br w:type="textWrapping"/>
        <w:t xml:space="preserve"> — 원문: "we vary our slack from 24 hours to a year"</w:t>
        <w:br w:type="textWrapping"/>
        <w:t xml:space="preserve"> — Slurm --deadline / --begin 옵션은 sbatch 공식 문서를 직접 인용할 것</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탄소집약도의 예측 가능성</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시간 이동이 성립하려면 미래 시점의 탄소집약도를 알아야 한다. Sukprasert 등이 하이퍼스케일 데이터센터가 위치한 40개 리전을 분석한 결과, 35개(87%)가 24시간 주기를 0.5 이상의 주기성 점수로 나타냈고 상당수는 주간 주기도 함께 보였다. 그러나 예측 가능성과 절감 잠재력은 별개다. 같은 연구는 전 세계 70% 이상의 리전이 일간 변동성이 낮으며, 이는 화석연료·수력·원자력 의존에 기인한다고 밝혔다. 이들 발전원은 변동성이 작아 다수 리전에서 시간 이동의 이득을 제한한다. 24시간 여유를 가정한 경우 시간 이동 단독의 전 지구 평균 절감은 31 gCO₂eq로, 전 지구 평균 탄소집약도 368.39 gCO₂eq/kWh 대비 8.4%에 그친다.</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따라서 CAST는 시간 이동을 단독 감축 수단으로 두지 않는다. 공간 이동을 우선 적용하되, 리전별 용량 제약으로 공간 이동이 포화된 구간에서 시간 이동을 보완적으로 적용하는 구조를 취한다.</w:t>
        <w:br w:type="textWrapping"/>
      </w:r>
      <w:hyperlink r:id="rId31">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원문: "35 of the 40 regions (87%) exhibit a 24-hour period… with a periodicity score of 0.5 or higher"</w:t>
        <w:br w:type="textWrapping"/>
        <w:t xml:space="preserve"> — 원문: "more than 70% of regions worldwide have low daily carbon-intensity variations due to their reliance on fossil fuel-based, hydro, or nuclear power generation."</w:t>
        <w:br w:type="textWrapping"/>
        <w:t xml:space="preserve"> — 원문: "These energy sources have low variability, which limits the benefit of temporal shifting in many cloud regions."</w:t>
        <w:br w:type="textWrapping"/>
        <w:t xml:space="preserve"> — 원문: "the carbon reductions vary from 31 g·CO2eq to 127 g·CO2eq, 8.4% and 34% relative to the average global emissions"</w:t>
        <w:br w:type="textWrapping"/>
        <w:t xml:space="preserve"> — 원문 각주: 낮은 일간 변동성은 변동계수(CV) 0.1 미만으로 정의됨</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탄소집약도 예측은 독립된 연구 주제이기도 하다. DACF는 발전원별 생산량을 인공신경망으로 예측한 뒤 각 발전원의 배출계수를 적용해 향후 24시간의 시간별 탄소집약도를 산출하며, 미국·유럽 6개 리전에서 평균 MAPE 6.4%를 보고하였다. 본 연구의 대상 리전과 겹치는 곳은 캘리포니아 7.41%, 텍사스 8.05%, 독일 9.08%였다. 후속 연구인 CarbonCast는 1단에서 발전원별 생산량을 예측하고 2단에서 CNN-LSTM으로 이를 과거 탄소집약도 및 기상 예보와 결합하는 계층 구조로 최대 96시간 예측을 수행하며, 6개 리전에서 4일 예측 MAPE 4.80~13.93%를, 확장판은 13개 리전에서 3.42~19.95%를 보고한다.</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CAST의 예측 모듈은 예측 지평이 24시간이라는 점에서 DACF와 조건이 같다. 다만 DACF는 IPCC AR5의 직접(운영) 배출계수를 적용해 탄소집약도를 산출하는 반면, 본 연구가 사용하는 Electricity Maps 값은 전과정 배출계수를 기본으로 한다. 두 신호는 수준과 변동 폭이 모두 다르므로, 평가 구간과 지표까지 감안하면 수치를 그대로 견주기는 어렵다. 다만 예측 지평이 동일하다는 점에서 조건 비교의 기준으로 삼는다.</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또한 DACF는 공개된 발전원별 예보를 그대로 활용할 수 있는 구조를 지향하나, 실제로 이러한 예보가 확보된 리전은 캘리포니아에 한정되며 나머지는 자체 모델로 대체하였다. 본 연구의 대상에는 한국·일본·인도가 포함되어 있어, 발전원별 시간 단위 공개 데이터에 의존하지 않고 탄소집약도를 직접 예측하는 방식이 데이터 가용성이 낮은 리전에서 유리하다.</w:t>
      </w:r>
    </w:p>
    <w:p w:rsidR="00000000" w:rsidDel="00000000" w:rsidP="00000000" w:rsidRDefault="00000000" w:rsidRPr="00000000" w14:paraId="00000094">
      <w:pPr>
        <w:rPr/>
      </w:pPr>
      <w:hyperlink r:id="rId32">
        <w:r w:rsidDel="00000000" w:rsidR="00000000" w:rsidRPr="00000000">
          <w:rPr>
            <w:color w:val="1155cc"/>
            <w:u w:val="single"/>
            <w:rtl w:val="0"/>
          </w:rPr>
          <w:t xml:space="preserve">https://doi.org/10.1145/3538637.3538849</w:t>
          <w:br w:type="textWrapping"/>
        </w:r>
      </w:hyperlink>
      <w:r w:rsidDel="00000000" w:rsidR="00000000" w:rsidRPr="00000000">
        <w:rPr>
          <w:rFonts w:ascii="Arial Unicode MS" w:cs="Arial Unicode MS" w:eastAsia="Arial Unicode MS" w:hAnsi="Arial Unicode MS"/>
          <w:rtl w:val="0"/>
        </w:rPr>
        <w:t xml:space="preserve"> — Maji, Sitaraman, Shenoy, "DACF," ACM e-Energy '22</w:t>
        <w:br w:type="textWrapping"/>
        <w:t xml:space="preserve"> — 원문: "DACF has a mean MAPE of 6.4% across the regions"</w:t>
        <w:br w:type="textWrapping"/>
        <w:t xml:space="preserve"> — 원문(Table 4): CA 7.41 / PJM 3.30 / TX 8.05 / NE 4.44 / SE 6.47 / DE 9.08</w:t>
        <w:br w:type="textWrapping"/>
        <w:t xml:space="preserve"> — 원문: "we follow the median carbon-emission rate due to direct emissions that only include operational emissions"</w:t>
        <w:br w:type="textWrapping"/>
        <w:t xml:space="preserve"> — 원문: "We use the predictions of the last six months of 2021 for testing"</w:t>
        <w:br w:type="textWrapping"/>
        <w:t xml:space="preserve"> — 원문(Table 3): 태양광·풍력 예보는 CA만 OASIS 사용, PJM·TX·NE는 N/A</w:t>
      </w:r>
    </w:p>
    <w:p w:rsidR="00000000" w:rsidDel="00000000" w:rsidP="00000000" w:rsidRDefault="00000000" w:rsidRPr="00000000" w14:paraId="00000095">
      <w:pPr>
        <w:rPr/>
      </w:pPr>
      <w:hyperlink r:id="rId33">
        <w:r w:rsidDel="00000000" w:rsidR="00000000" w:rsidRPr="00000000">
          <w:rPr>
            <w:color w:val="1155cc"/>
            <w:u w:val="single"/>
            <w:rtl w:val="0"/>
          </w:rPr>
          <w:t xml:space="preserve">https://doi.org/10.1145/3563357.3564079</w:t>
          <w:br w:type="textWrapping"/>
        </w:r>
      </w:hyperlink>
      <w:r w:rsidDel="00000000" w:rsidR="00000000" w:rsidRPr="00000000">
        <w:rPr>
          <w:rFonts w:ascii="Arial Unicode MS" w:cs="Arial Unicode MS" w:eastAsia="Arial Unicode MS" w:hAnsi="Arial Unicode MS"/>
          <w:rtl w:val="0"/>
        </w:rPr>
        <w:t xml:space="preserve"> — Maji, Shenoy, Sitaraman, "CarbonCast," BuildSys '22, pp. 198–207</w:t>
        <w:br w:type="textWrapping"/>
        <w:t xml:space="preserve"> — 원문: "uses neural networks to first generate production forecasts for all the electricity-generating sources. It then uses a hybrid CNN-LSTM approach to combine these first-tier forecasts with historical carbon intensity data and weather forecasts"</w:t>
        <w:br w:type="textWrapping"/>
        <w:t xml:space="preserve"> — 원문: "MAPE of 4.80--13.93% across six geographically distributed regions"</w:t>
      </w:r>
    </w:p>
    <w:p w:rsidR="00000000" w:rsidDel="00000000" w:rsidP="00000000" w:rsidRDefault="00000000" w:rsidRPr="00000000" w14:paraId="00000096">
      <w:pPr>
        <w:rPr/>
      </w:pPr>
      <w:hyperlink r:id="rId34">
        <w:r w:rsidDel="00000000" w:rsidR="00000000" w:rsidRPr="00000000">
          <w:rPr>
            <w:color w:val="1155cc"/>
            <w:u w:val="single"/>
            <w:rtl w:val="0"/>
          </w:rPr>
          <w:t xml:space="preserve">https://doi.org/10.1145/3607114.3607117</w:t>
          <w:br w:type="textWrapping"/>
        </w:r>
      </w:hyperlink>
      <w:r w:rsidDel="00000000" w:rsidR="00000000" w:rsidRPr="00000000">
        <w:rPr>
          <w:rFonts w:ascii="Arial Unicode MS" w:cs="Arial Unicode MS" w:eastAsia="Arial Unicode MS" w:hAnsi="Arial Unicode MS"/>
          <w:rtl w:val="0"/>
        </w:rPr>
        <w:t xml:space="preserve"> — 확장판: ACM SIGENERGY Energy Informatics Review 3(2):19–33, 2023</w:t>
        <w:br w:type="textWrapping"/>
        <w:t xml:space="preserve"> — 원문: "3.42–19.95% across 13 geographically distributed regions"</w:t>
      </w:r>
    </w:p>
    <w:p w:rsidR="00000000" w:rsidDel="00000000" w:rsidP="00000000" w:rsidRDefault="00000000" w:rsidRPr="00000000" w14:paraId="00000097">
      <w:pPr>
        <w:rPr/>
      </w:pPr>
      <w:hyperlink r:id="rId35">
        <w:r w:rsidDel="00000000" w:rsidR="00000000" w:rsidRPr="00000000">
          <w:rPr>
            <w:color w:val="1155cc"/>
            <w:u w:val="single"/>
            <w:rtl w:val="0"/>
          </w:rPr>
          <w:t xml:space="preserve">https://www.electricitymaps.com/data/methodology</w:t>
          <w:br w:type="textWrapping"/>
        </w:r>
      </w:hyperlink>
      <w:r w:rsidDel="00000000" w:rsidR="00000000" w:rsidRPr="00000000">
        <w:rPr>
          <w:rFonts w:ascii="Arial Unicode MS" w:cs="Arial Unicode MS" w:eastAsia="Arial Unicode MS" w:hAnsi="Arial Unicode MS"/>
          <w:rtl w:val="0"/>
        </w:rPr>
        <w:t xml:space="preserve"> — Electricity Maps 배출계수 체계. 투고 전 공식 문서에서 직접 확인하고 정확한 URL로 교체할 것</w:t>
      </w:r>
    </w:p>
    <w:p w:rsidR="00000000" w:rsidDel="00000000" w:rsidP="00000000" w:rsidRDefault="00000000" w:rsidRPr="00000000" w14:paraId="00000098">
      <w:pPr>
        <w:rPr/>
      </w:pPr>
      <w:r w:rsidDel="00000000" w:rsidR="00000000" w:rsidRPr="00000000">
        <w:rPr>
          <w:rtl w:val="0"/>
        </w:rPr>
      </w:r>
    </w:p>
    <w:p>
      <w:pPr>
        <w:jc w:val="center"/>
        <w:rPr/>
      </w:pPr>
      <w:r>
        <w:rPr>
          <w:rtl w:val="0"/>
        </w:rPr>
        <w:drawing>
          <wp:inline distT="0" distB="0" distL="0" distR="0">
            <wp:extent cx="5200000" cy="2239000"/>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CASTF2"/>
                    <a:stretch>
                      <a:fillRect/>
                    </a:stretch>
                  </pic:blipFill>
                  <pic:spPr>
                    <a:xfrm>
                      <a:off x="0" y="0"/>
                      <a:ext cx="5200000" cy="2239000"/>
                    </a:xfrm>
                    <a:prstGeom prst="rect">
                      <a:avLst/>
                    </a:prstGeom>
                  </pic:spPr>
                </pic:pic>
              </a:graphicData>
            </a:graphic>
          </wp:inline>
        </w:drawing>
      </w:r>
    </w:p>
    <w:p>
      <w:pPr>
        <w:jc w:val="center"/>
        <w:rPr>
          <w:sz w:val="18"/>
          <w:szCs w:val="18"/>
        </w:rPr>
      </w:pPr>
      <w:r>
        <w:rPr>
          <w:rFonts w:ascii="Arial Unicode MS" w:cs="Arial Unicode MS" w:eastAsia="Arial Unicode MS" w:hAnsi="Arial Unicode MS"/>
          <w:sz w:val="18"/>
          <w:szCs w:val="18"/>
          <w:rtl w:val="0"/>
        </w:rPr>
        <w:t xml:space="preserve">그림 3. CAST 예측 모듈의 구조. 리전마다 독립된 모델을 두며, 기상 데이터가 확보된 3개 리전은 향후 24시간 기상 예보를 별도 헤드로 결합한다.</w:t>
      </w:r>
    </w:p>
    <w:p>
      <w:pPr>
        <w:rPr/>
      </w:pPr>
      <w:r>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그림 3과 같이</w:t>
        <w:br w:type="textWrapping"/>
        <w:t xml:space="preserve"> CAST는 과거 168시간의 계통·시간·기상 정보와 향후 24시간 기상 예보를 입력으로 하는 리전별 단일 LSTM 모델을 사용한다. 구조와 성능은 각각 뒤에서 기술한다.</w:t>
      </w:r>
    </w:p>
    <w:p w:rsidR="00000000" w:rsidDel="00000000" w:rsidP="00000000" w:rsidRDefault="00000000" w:rsidRPr="00000000" w14:paraId="0000009A">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9B">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9C">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9D">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line="276" w:lineRule="auto"/>
        <w:rPr/>
      </w:pPr>
      <w:r w:rsidDel="00000000" w:rsidR="00000000" w:rsidRPr="00000000">
        <w:rPr>
          <w:rtl w:val="0"/>
        </w:rPr>
      </w:r>
    </w:p>
    <w:p w:rsidR="00000000" w:rsidDel="00000000" w:rsidP="00000000" w:rsidRDefault="00000000" w:rsidRPr="00000000" w14:paraId="000000A0">
      <w:pPr>
        <w:spacing w:line="276" w:lineRule="auto"/>
        <w:rPr/>
      </w:pPr>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rtl w:val="0"/>
        </w:rPr>
      </w:r>
    </w:p>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spacing w:line="276" w:lineRule="auto"/>
        <w:rPr/>
      </w:pP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spacing w:line="276" w:lineRule="auto"/>
        <w:rPr/>
      </w:pPr>
      <w:r w:rsidDel="00000000" w:rsidR="00000000" w:rsidRPr="00000000">
        <w:rPr>
          <w:rtl w:val="0"/>
        </w:rPr>
      </w:r>
    </w:p>
    <w:p w:rsidR="00000000" w:rsidDel="00000000" w:rsidP="00000000" w:rsidRDefault="00000000" w:rsidRPr="00000000" w14:paraId="000000A7">
      <w:pPr>
        <w:spacing w:line="276" w:lineRule="auto"/>
        <w:rPr/>
      </w:pPr>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spacing w:line="276" w:lineRule="auto"/>
        <w:rPr/>
      </w:pPr>
      <w:r w:rsidDel="00000000" w:rsidR="00000000" w:rsidRPr="00000000">
        <w:rPr>
          <w:rtl w:val="0"/>
        </w:rPr>
      </w:r>
    </w:p>
    <w:p w:rsidR="00000000" w:rsidDel="00000000" w:rsidP="00000000" w:rsidRDefault="00000000" w:rsidRPr="00000000" w14:paraId="000000AC">
      <w:pPr>
        <w:spacing w:line="276" w:lineRule="auto"/>
        <w:rPr/>
      </w:pPr>
      <w:r w:rsidDel="00000000" w:rsidR="00000000" w:rsidRPr="00000000">
        <w:rPr>
          <w:rtl w:val="0"/>
        </w:rPr>
      </w:r>
    </w:p>
    <w:p w:rsidR="00000000" w:rsidDel="00000000" w:rsidP="00000000" w:rsidRDefault="00000000" w:rsidRPr="00000000" w14:paraId="000000AD">
      <w:pPr>
        <w:spacing w:line="276" w:lineRule="auto"/>
        <w:rPr/>
      </w:pPr>
      <w:r w:rsidDel="00000000" w:rsidR="00000000" w:rsidRPr="00000000">
        <w:rPr>
          <w:rtl w:val="0"/>
        </w:rPr>
      </w:r>
    </w:p>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spacing w:line="276" w:lineRule="auto"/>
        <w:rPr>
          <w:b w:val="1"/>
          <w:bCs w:val="1"/>
          <w:color w:val="980000"/>
          <w:sz w:val="32"/>
          <w:szCs w:val="32"/>
        </w:rPr>
      </w:pPr>
      <w:r w:rsidDel="00000000" w:rsidR="00000000" w:rsidRPr="00000000">
        <w:rPr>
          <w:rFonts w:ascii="Arial Unicode MS" w:cs="Arial Unicode MS" w:eastAsia="Arial Unicode MS" w:hAnsi="Arial Unicode MS"/>
          <w:b w:val="1"/>
          <w:bCs w:val="1"/>
          <w:color w:val="980000"/>
          <w:sz w:val="32"/>
          <w:szCs w:val="32"/>
          <w:rtl w:val="0"/>
        </w:rPr>
        <w:t xml:space="preserve">풀고자 하는 문제</w:t>
      </w:r>
    </w:p>
    <w:p w:rsidR="00000000" w:rsidDel="00000000" w:rsidP="00000000" w:rsidRDefault="00000000" w:rsidRPr="00000000" w14:paraId="000000B0">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문제 정의</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클라우드에 제출된 작업 집합이 주어졌을 때, 각 작업을 어느 리전에서 언제 실행할지 결정하여 총 탄소 배출량을 최소화하는 것이 본 연구가 다루는 문제다. 단 각 작업은 자신에게 허용된 지연 범위 안에서 완료되어야 하고, 각 리전은 유한한 처리 용량을 갖는다.</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배출량은 작업이 소비한 전력량과 실행 시점·실행 리전의 탄소집약도의 곱으로 정해진다. 소비 전력량이 고정되어 있다면 남는 결정 변수는 실행 리전과 실행 시각 두 가지다. 따라서 이 문제는 배치 결정을 통해 각 작업이 마주하는 탄소집약도를 낮추는 문제로 환원된다.</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제약 조건</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세 가지 제약이 동시에 작용한다.</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첫째, 지연 제약이다. 작업을 더 깨끗한 리전으로 보내면 네트워크 왕복 지연이 늘고, 더 깨끗한 시각으로 미루면 완료가 늦어진다. 두 지연의 합은 작업이 신고한 허용치를 넘을 수 없다.</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둘째, 용량 제약이다. 가장 깨끗한 리전으로 모든 작업을 보낼 수는 없다. 리전마다 동시에 처리할 수 있는 작업 수가 정해져 있으며, 이 제약이 없으면 저탄소 시각이나 저탄소 리전에 부하가 집중되는 현상이 발생한다. 선행 연구는 개별 작업 단위 최적화가 이 제약을 고려하지 않을 때 모든 작업이 동일한 저탄소 시각으로 실행을 미루는 문제가 나타난다고 지적하였다.</w:t>
        <w:br w:type="textWrapping"/>
      </w:r>
      <w:hyperlink r:id="rId36">
        <w:r w:rsidDel="00000000" w:rsidR="00000000" w:rsidRPr="00000000">
          <w:rPr>
            <w:color w:val="1155cc"/>
            <w:u w:val="single"/>
            <w:rtl w:val="0"/>
          </w:rPr>
          <w:t xml:space="preserve"> https://arxiv.org/abs/2505.18357</w:t>
          <w:br w:type="textWrapping"/>
        </w:r>
      </w:hyperlink>
      <w:r w:rsidDel="00000000" w:rsidR="00000000" w:rsidRPr="00000000">
        <w:rPr>
          <w:rFonts w:ascii="Arial Unicode MS" w:cs="Arial Unicode MS" w:eastAsia="Arial Unicode MS" w:hAnsi="Arial Unicode MS"/>
          <w:rtl w:val="0"/>
        </w:rPr>
        <w:t xml:space="preserve"> —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셋째, 예측 제약이다. 실행 시각을 지금 결정하려면 아직 오지 않은 시각의 탄소집약도를 알아야 한다. 이는 관측이 아니라 예측의 문제이며, 예측이 빗나가면 의도했던 것보다 높은 탄소집약도에서 작업이 실행된다.</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결정의 구조</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이 문제가 단순한 최소화가 아닌 이유는 목적이 하나가 아니기 때문이다. 탄소를 줄이려면 지연을 내주어야 하고, 지연을 줄이려면 탄소를 감수해야 한다. 두 목적 사이에는 단일한 최적해가 존재하지 않으며, 어느 지점을 택할지에 대한 기준이 별도로 필요하다.</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선행 연구는 이 기준을 상수로 고정한다. 그러나 리전 간 탄소집약도 격차는 시각에 따라 달라지므로, 옮겨서 얻는 이득이 큰 시간과 그렇지 않은 시간에 동일한 기준을 적용하는 것은 최적이라 보기 어렵다. 이 기준을 어떻게 정할 것인가가 본 연구가 다루는 두 번째 문제다.</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세 번째 문제는 평가에 관한 것이다. 배치를 예측값으로 결정했다면, 그 결정의 결과인 배출량은 실제로 발생한 값으로 산정되어야 한다. 예측값으로 결정하고 예측값으로 채점하면 예측 오차의 대가가 결과에서 사라진다.</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범위</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본 연구가 다루는 것과 다루지 않는 것을 명확히 한다.</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대상 작업은 지연 허용치를 명시할 수 있는 작업으로 한정한다. 실시간 스트리밍처럼 시간·공간 유연성이 모두 없는 작업은 대상이 아니다.</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최적화 축은 실행 리전과 실행 시각이다. 하드웨어 효율, 냉각, PUE 개선은 다루지 않는다.</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배출 범위는 운영 단계의 전력 소비에 따른 배출로 한정한다. 서버 제조와 폐기 과정에서 발생하는 내재 탄소는 고려하지 않는다.</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네트워크는 리전 간 왕복 지연만 반영하고, 리전 간 데이터 전송량과 그에 따른 비용은 반영하지 않는다.</w:t>
      </w:r>
    </w:p>
    <w:p w:rsidR="00000000" w:rsidDel="00000000" w:rsidP="00000000" w:rsidRDefault="00000000" w:rsidRPr="00000000" w14:paraId="000000CA">
      <w:pPr>
        <w:spacing w:line="276" w:lineRule="auto"/>
        <w:rPr/>
      </w:pPr>
      <w:r w:rsidDel="00000000" w:rsidR="00000000" w:rsidRPr="00000000">
        <w:rPr>
          <w:rtl w:val="0"/>
        </w:rPr>
      </w:r>
    </w:p>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spacing w:line="276" w:lineRule="auto"/>
        <w:rPr/>
      </w:pPr>
      <w:r w:rsidDel="00000000" w:rsidR="00000000" w:rsidRPr="00000000">
        <w:rPr>
          <w:rtl w:val="0"/>
        </w:rPr>
      </w:r>
    </w:p>
    <w:p w:rsidR="00000000" w:rsidDel="00000000" w:rsidP="00000000" w:rsidRDefault="00000000" w:rsidRPr="00000000" w14:paraId="000000CD">
      <w:pPr>
        <w:spacing w:line="276" w:lineRule="auto"/>
        <w:rPr/>
      </w:pP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rtl w:val="0"/>
        </w:rPr>
      </w:r>
    </w:p>
    <w:p w:rsidR="00000000" w:rsidDel="00000000" w:rsidP="00000000" w:rsidRDefault="00000000" w:rsidRPr="00000000" w14:paraId="000000D1">
      <w:pPr>
        <w:spacing w:line="276" w:lineRule="auto"/>
        <w:rPr/>
      </w:pPr>
      <w:r w:rsidDel="00000000" w:rsidR="00000000" w:rsidRPr="00000000">
        <w:rPr>
          <w:rtl w:val="0"/>
        </w:rPr>
      </w:r>
    </w:p>
    <w:p w:rsidR="00000000" w:rsidDel="00000000" w:rsidP="00000000" w:rsidRDefault="00000000" w:rsidRPr="00000000" w14:paraId="000000D2">
      <w:pPr>
        <w:spacing w:line="276" w:lineRule="auto"/>
        <w:rPr/>
      </w:pPr>
      <w:r w:rsidDel="00000000" w:rsidR="00000000" w:rsidRPr="00000000">
        <w:rPr>
          <w:rtl w:val="0"/>
        </w:rPr>
      </w:r>
    </w:p>
    <w:p w:rsidR="00000000" w:rsidDel="00000000" w:rsidP="00000000" w:rsidRDefault="00000000" w:rsidRPr="00000000" w14:paraId="000000D3">
      <w:pPr>
        <w:spacing w:line="276" w:lineRule="auto"/>
        <w:rPr/>
      </w:pP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tl w:val="0"/>
        </w:rPr>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spacing w:line="276" w:lineRule="auto"/>
        <w:rPr/>
      </w:pPr>
      <w:r w:rsidDel="00000000" w:rsidR="00000000" w:rsidRPr="00000000">
        <w:rPr>
          <w:rtl w:val="0"/>
        </w:rPr>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r>
    </w:p>
    <w:p w:rsidR="00000000" w:rsidDel="00000000" w:rsidP="00000000" w:rsidRDefault="00000000" w:rsidRPr="00000000" w14:paraId="000000EB">
      <w:pPr>
        <w:spacing w:line="276" w:lineRule="auto"/>
        <w:rPr/>
      </w:pPr>
      <w:r w:rsidDel="00000000" w:rsidR="00000000" w:rsidRPr="00000000">
        <w:rPr>
          <w:rtl w:val="0"/>
        </w:rPr>
      </w:r>
    </w:p>
    <w:p w:rsidR="00000000" w:rsidDel="00000000" w:rsidP="00000000" w:rsidRDefault="00000000" w:rsidRPr="00000000" w14:paraId="000000EC">
      <w:pPr>
        <w:spacing w:line="276" w:lineRule="auto"/>
        <w:rPr/>
      </w:pPr>
      <w:r w:rsidDel="00000000" w:rsidR="00000000" w:rsidRPr="00000000">
        <w:rPr>
          <w:rtl w:val="0"/>
        </w:rPr>
      </w:r>
    </w:p>
    <w:p w:rsidR="00000000" w:rsidDel="00000000" w:rsidP="00000000" w:rsidRDefault="00000000" w:rsidRPr="00000000" w14:paraId="000000ED">
      <w:pPr>
        <w:spacing w:line="276" w:lineRule="auto"/>
        <w:rPr/>
      </w:pPr>
      <w:r w:rsidDel="00000000" w:rsidR="00000000" w:rsidRPr="00000000">
        <w:rPr>
          <w:rtl w:val="0"/>
        </w:rPr>
      </w:r>
    </w:p>
    <w:p w:rsidR="00000000" w:rsidDel="00000000" w:rsidP="00000000" w:rsidRDefault="00000000" w:rsidRPr="00000000" w14:paraId="000000EE">
      <w:pPr>
        <w:spacing w:line="276" w:lineRule="auto"/>
        <w:rPr/>
      </w:pPr>
      <w:r w:rsidDel="00000000" w:rsidR="00000000" w:rsidRPr="00000000">
        <w:rPr>
          <w:rtl w:val="0"/>
        </w:rPr>
      </w:r>
    </w:p>
    <w:p w:rsidR="00000000" w:rsidDel="00000000" w:rsidP="00000000" w:rsidRDefault="00000000" w:rsidRPr="00000000" w14:paraId="000000EF">
      <w:pPr>
        <w:spacing w:line="276" w:lineRule="auto"/>
        <w:rPr/>
      </w:pPr>
      <w:r w:rsidDel="00000000" w:rsidR="00000000" w:rsidRPr="00000000">
        <w:rPr>
          <w:rtl w:val="0"/>
        </w:rPr>
      </w:r>
    </w:p>
    <w:p w:rsidR="00000000" w:rsidDel="00000000" w:rsidP="00000000" w:rsidRDefault="00000000" w:rsidRPr="00000000" w14:paraId="000000F0">
      <w:pPr>
        <w:spacing w:line="276" w:lineRule="auto"/>
        <w:rPr/>
      </w:pP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r>
    </w:p>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spacing w:line="276" w:lineRule="auto"/>
        <w:rPr/>
      </w:pPr>
      <w:r w:rsidDel="00000000" w:rsidR="00000000" w:rsidRPr="00000000">
        <w:rPr>
          <w:rtl w:val="0"/>
        </w:rPr>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spacing w:line="276" w:lineRule="auto"/>
        <w:rPr>
          <w:b w:val="1"/>
          <w:bCs w:val="1"/>
          <w:color w:val="ff0000"/>
        </w:rPr>
      </w:pPr>
      <w:r w:rsidDel="00000000" w:rsidR="00000000" w:rsidRPr="00000000">
        <w:rPr>
          <w:rtl w:val="0"/>
        </w:rPr>
      </w:r>
    </w:p>
    <w:p w:rsidR="00000000" w:rsidDel="00000000" w:rsidP="00000000" w:rsidRDefault="00000000" w:rsidRPr="00000000" w14:paraId="000000F6">
      <w:pPr>
        <w:spacing w:line="276" w:lineRule="auto"/>
        <w:rPr>
          <w:b w:val="1"/>
          <w:bCs w:val="1"/>
          <w:color w:val="980000"/>
          <w:sz w:val="32"/>
          <w:szCs w:val="32"/>
        </w:rPr>
      </w:pPr>
      <w:r w:rsidDel="00000000" w:rsidR="00000000" w:rsidRPr="00000000">
        <w:rPr>
          <w:rFonts w:ascii="Arial Unicode MS" w:cs="Arial Unicode MS" w:eastAsia="Arial Unicode MS" w:hAnsi="Arial Unicode MS"/>
          <w:b w:val="1"/>
          <w:bCs w:val="1"/>
          <w:color w:val="980000"/>
          <w:sz w:val="32"/>
          <w:szCs w:val="32"/>
          <w:rtl w:val="0"/>
        </w:rPr>
        <w:t xml:space="preserve">이 문제를 해결하려고 했던 기존 방법 + 그리고 기존 방법의 한계</w:t>
      </w:r>
    </w:p>
    <w:p w:rsidR="00000000" w:rsidDel="00000000" w:rsidP="00000000" w:rsidRDefault="00000000" w:rsidRPr="00000000" w14:paraId="000000F7">
      <w:pPr>
        <w:spacing w:line="276" w:lineRule="auto"/>
        <w:rPr>
          <w:b w:val="1"/>
          <w:bCs w:val="1"/>
          <w:color w:val="980000"/>
          <w:sz w:val="32"/>
          <w:szCs w:val="32"/>
        </w:rPr>
      </w:pPr>
      <w:r w:rsidDel="00000000" w:rsidR="00000000" w:rsidRPr="00000000">
        <w:rPr>
          <w:rFonts w:ascii="Arial Unicode MS" w:cs="Arial Unicode MS" w:eastAsia="Arial Unicode MS" w:hAnsi="Arial Unicode MS"/>
          <w:b w:val="1"/>
          <w:bCs w:val="1"/>
          <w:color w:val="980000"/>
          <w:sz w:val="32"/>
          <w:szCs w:val="32"/>
          <w:rtl w:val="0"/>
        </w:rPr>
        <w:t xml:space="preserve">(이 부분에는 우리가 Sukprasert보다 더 나은 점을 찾아봐야할듯)</w:t>
      </w:r>
    </w:p>
    <w:p w:rsidR="00000000" w:rsidDel="00000000" w:rsidP="00000000" w:rsidRDefault="00000000" w:rsidRPr="00000000" w14:paraId="000000F8">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시간 축 접근</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구글의 CICS는 유연한 배치 작업의 실행 시각을 저탄소 시간대로 미루는 시스템이다. 탄소집약도 예보와 다음날 수요 예측을 결합한 위험 인지 최적화로 클러스터별 시간별 가상 용량 곡선을 산출하고, 이 곡선이 시간별 자원 상한을 정해 실시간 스케줄러가 저탄소 시간대에 더 많은 작업을 수용하도록 유도한다. 구글 전 데이터센터 클러스터를 대상으로 프로덕션 배포되어 있으며, 운영 데이터에서 탄소집약도가 가장 높은 시간대의 전력 소비가 1~2% 감소했다. 저자들은 결론에서 공간 이동으로의 확장을 예고하였다.</w:t>
        <w:br w:type="textWrapping"/>
      </w:r>
      <w:hyperlink r:id="rId37">
        <w:r w:rsidDel="00000000" w:rsidR="00000000" w:rsidRPr="00000000">
          <w:rPr>
            <w:color w:val="1155cc"/>
            <w:u w:val="single"/>
            <w:rtl w:val="0"/>
          </w:rPr>
          <w:t xml:space="preserve"> https://arxiv.org/pdf/2106.11750</w:t>
          <w:br w:type="textWrapping"/>
        </w:r>
      </w:hyperlink>
      <w:r w:rsidDel="00000000" w:rsidR="00000000" w:rsidRPr="00000000">
        <w:rPr>
          <w:rtl w:val="0"/>
        </w:rPr>
        <w:t xml:space="preserve"> — Radovanović et al., IEEE Trans. Power Systems 38(2):1270–1280, 2023</w:t>
        <w:br w:type="textWrapping"/>
        <w:t xml:space="preserve"> — 원문: "generate the next day's carbon-aware Virtual Capacity Curves (VCCs) for all datacenter clusters across Google's fleet"</w:t>
        <w:br w:type="textWrapping"/>
        <w:t xml:space="preserve"> — 원문: "we demonstrate a power consumption drop of 1-2% at times with the highest carbon intensity"</w:t>
        <w:br w:type="textWrapping"/>
        <w:t xml:space="preserve"> — 원문: "which shifts datacenter computing in time and will soon also shift computing in space"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클러스터 단위 접근으로는 CarbonFlex가 있다. 클러스터 용량 제약을 명시적으로 다루며, 개별 작업 단위의 선행 연구가 이를 고려하지 않는다는 점과, 용량 제약을 두지 않으면 모든 작업이 동일한 저탄소 시각으로 실행을 미루는 문제가 발생한다는 점을 지적하였다. CPU 클러스터에서 51.4%, GPU 클러스터에서 57.5%의 탄소 절감을 보고한다. 다만 단일 클러스터 내 시간 이동과 자원 탄력성에 한정되며, 리전 간 공간 이동은 다루지 않는다.</w:t>
        <w:br w:type="textWrapping"/>
      </w:r>
      <w:hyperlink r:id="rId38">
        <w:r w:rsidDel="00000000" w:rsidR="00000000" w:rsidRPr="00000000">
          <w:rPr>
            <w:color w:val="1155cc"/>
            <w:u w:val="single"/>
            <w:rtl w:val="0"/>
          </w:rPr>
          <w:t xml:space="preserve"> https://arxiv.org/abs/2505.18357</w:t>
          <w:br w:type="textWrapping"/>
        </w:r>
      </w:hyperlink>
      <w:r w:rsidDel="00000000" w:rsidR="00000000" w:rsidRPr="00000000">
        <w:rPr>
          <w:rFonts w:ascii="Arial Unicode MS" w:cs="Arial Unicode MS" w:eastAsia="Arial Unicode MS" w:hAnsi="Arial Unicode MS"/>
          <w:rtl w:val="0"/>
        </w:rPr>
        <w:t xml:space="preserve"> — Hanafy, Wu, Irwin, Shenoy, arXiv:2505.18357, 2025</w:t>
        <w:br w:type="textWrapping"/>
        <w:t xml:space="preserve"> — 원문: "clusters have a capacity limit that prior work on optimizing individual jobs in the cloud does not consider."</w:t>
        <w:br w:type="textWrapping"/>
        <w:t xml:space="preserve"> —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공간 축 접근</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CASPER는 분산 웹 서비스로 들어오는 요청을 탄소집약도가 낮은 리전으로 라우팅한다. 정수 선형 계획법으로 리전별 서버 프로비저닝과 요청 배정을 함께 결정하며, 여섯 개 AWS 리전을 대상으로 쿠버네티스 프로토타입을 구현하였다. 지연 상한을 20ms에서 500ms까지 완화하며 실험한 결과 각각 25%와 최대 70%의 탄소 절감을 보고한다. 저자들은 시간적 변동의 활용 가능성을 인정하면서도 본 연구는 공간적 변동의 활용에 집중한다고 명시하였다.</w:t>
        <w:br w:type="textWrapping"/>
      </w:r>
      <w:hyperlink r:id="rId39">
        <w:r w:rsidDel="00000000" w:rsidR="00000000" w:rsidRPr="00000000">
          <w:rPr>
            <w:color w:val="1155cc"/>
            <w:u w:val="single"/>
            <w:rtl w:val="0"/>
          </w:rPr>
          <w:t xml:space="preserve"> https://doi.org/10.1145/3634769.3634812</w:t>
          <w:br w:type="textWrapping"/>
        </w:r>
      </w:hyperlink>
      <w:r w:rsidDel="00000000" w:rsidR="00000000" w:rsidRPr="00000000">
        <w:rPr>
          <w:rFonts w:ascii="Arial Unicode MS" w:cs="Arial Unicode MS" w:eastAsia="Arial Unicode MS" w:hAnsi="Arial Unicode MS"/>
          <w:rtl w:val="0"/>
        </w:rPr>
        <w:t xml:space="preserve"> — Souza et al., IGSC '23, pp. 67–73</w:t>
        <w:br w:type="textWrapping"/>
        <w:t xml:space="preserve"> — 원문: "our current work primarily focuses on exploiting spatial variations"</w:t>
        <w:br w:type="textWrapping"/>
        <w:t xml:space="preserve"> — 원문: "Carbon-20 demonstrates that even small relaxations in latency constraints can result in a 25% carbon reductions... Carbon-400 reaches a point of diminishing returns with a 70% reduction"</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VMware의 Avi GSLB에 탄소 인지 기능을 부여한 연구도 같은 축에 속한다. 기존에 지리적 근접성만으로 요청을 분산하던 로드밸런서에 실시간 탄소집약도를 판단 요소로 추가하여, 평균 21%, 최대 51%의 탄소 감축을 보고하였다.</w:t>
        <w:br w:type="textWrapping"/>
      </w:r>
      <w:hyperlink r:id="rId40">
        <w:r w:rsidDel="00000000" w:rsidR="00000000" w:rsidRPr="00000000">
          <w:rPr>
            <w:color w:val="1155cc"/>
            <w:u w:val="single"/>
            <w:rtl w:val="0"/>
          </w:rPr>
          <w:t xml:space="preserve"> https://dl.acm.org/doi/10.1145/3604930.3605711</w:t>
          <w:br w:type="textWrapping"/>
        </w:r>
      </w:hyperlink>
      <w:r w:rsidDel="00000000" w:rsidR="00000000" w:rsidRPr="00000000">
        <w:rPr>
          <w:rFonts w:ascii="Arial Unicode MS" w:cs="Arial Unicode MS" w:eastAsia="Arial Unicode MS" w:hAnsi="Arial Unicode MS"/>
          <w:rtl w:val="0"/>
        </w:rPr>
        <w:t xml:space="preserve"> — Maji et al., HotCarbon '23, pp. 1–6</w:t>
        <w:br w:type="textWrapping"/>
        <w:t xml:space="preserve"> — 원문: "Our carbon-aware prototype shows an average of 21% and a maximum of 51% reduction in carbon emissions while operating with an acceptable latency"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두 축을 함께 다룬 분석</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Sukprasert 등은 123개 리전의 3년치(2020~2022) 탄소집약도 데이터로 시공간 이동의 상한을 분석하였다. 이상적 조건에서 공간 이동은 전 지구 평균 대비 96%까지 절감할 수 있으나, 전 리전이 50% 가동률이라는 제약만 추가해도 51.5%로 떨어지고, 여기에 50ms 지연 제약까지 걸면 31%까지 낮아진다. 시간 이동은 24시간 여유 기준 8.4%에 그친다. 두 축을 결합한 경우 공간 이동의 절감이 지배적이며 시간 이동의 추가 이득은 제한적이라고 결론지었다.</w:t>
        <w:br w:type="textWrapping"/>
      </w:r>
      <w:hyperlink r:id="rId41">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Sukprasert et al., EuroSys '24, pp. 924–941</w:t>
        <w:br w:type="textWrapping"/>
        <w:t xml:space="preserve"> — 원문: "savings from spatial migration dominate the overall savings, with limited additional benefits from performing temporal shifting"</w:t>
        <w:br w:type="textWrapping"/>
        <w:t xml:space="preserve"> — 원문: "For a mean utilization of 50%, the global average carbon reductions drop to 51.5%, a 1.9× decrease when compared to our ideal case"</w:t>
        <w:br w:type="textWrapping"/>
        <w:t xml:space="preserve"> — 원문: "the average global carbon reductions dropping from 52% to 31% for a 50ms latency constraint and 50% datacenter utilization"</w:t>
      </w:r>
    </w:p>
    <w:p>
      <w:pPr>
        <w:rPr/>
      </w:pPr>
      <w:r>
        <w:rPr>
          <w:rtl w:val="0"/>
        </w:rPr>
      </w:r>
    </w:p>
    <w:p>
      <w:pPr>
        <w:rPr/>
      </w:pPr>
      <w:r>
        <w:rPr>
          <w:rFonts w:ascii="Arial Unicode MS" w:cs="Arial Unicode MS" w:eastAsia="Arial Unicode MS" w:hAnsi="Arial Unicode MS"/>
          <w:rtl w:val="0"/>
        </w:rPr>
        <w:t xml:space="preserve">같은 가정과 같은 결론이 2년 뒤에도 반복된다. Attenni 등은 Azure와 AWS의 4~5개 리전을 대상으로 사계절 각 1주일 구간에서 공간 이동과 시간 이동을 결합하여 분석하였다. 이 연구는 탄소뿐 아니라 물 사용과 토지 사용까지 목적 축에 포함한다는 점에서 범위가 더 넓다. 예측 오차는 실측 계열에 노이즈를 주입하여 모사하고 그에 대한 민감도 분석을 수행한다. 그럼에도 두 축을 결합한 결론은 앞의 연구와 같다. https://arxiv.org/abs/2512.08725 — Attenni, Moawad, Bartolini, Thamsen, arXiv:2512.08725, 2025년 12월 투고, 2026년 3월 개정 — 원문: "When applied together, the two strategies yield the greatest overall reduction, driven mainly by spatial shifting with temporal adjustments providing an additional, incremental benefit." — 원문: "Sensitivity analysis demonstrates that such shifting is robust to prediction errors in grid mix data and to variations across different seasons." 본 연구는 8개 리전의 1년 연속 데이터를 사용한다.</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한계(이 부분은 다시 찾아보는 것이 좋을듯!)</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첫째, 두 축이 결합된 조건에서 용량 제약이 검토되지 않았다. Sukprasert 등의 분석에서 용량은 공간 이동의 이득을 크게 좌우하는 변수로 확인되었으나, 정작 두 축을 결합한 분석에서는 용량 제약을 두지 않는다. 이 설정에서는 부하가 저탄소·저변동 리전으로 우선 수용되므로 시간 이동의 여지가 구조적으로 줄어든다.</w:t>
      </w:r>
    </w:p>
    <w:p>
      <w:pPr>
        <w:rPr/>
      </w:pPr>
      <w:r>
        <w:rPr>
          <w:rtl w:val="0"/>
        </w:rPr>
      </w:r>
    </w:p>
    <w:p>
      <w:pPr>
        <w:rPr/>
      </w:pPr>
      <w:r>
        <w:rPr>
          <w:rFonts w:ascii="Arial Unicode MS" w:cs="Arial Unicode MS" w:eastAsia="Arial Unicode MS" w:hAnsi="Arial Unicode MS"/>
          <w:rtl w:val="0"/>
        </w:rPr>
        <w:t xml:space="preserve">이는 한 연구에 국한된 현상이 아니다. 2년 뒤 발표된 Attenni 등의 시공간 결합 연구도 자원이 항상 가용하다고 가정하며, 저자들은 이를 타당성 위협 절에서 스스로 밝히고 있다. https://arxiv.org/abs/2512.08725 — 원문: "Resource availability. We assume that there are always resources available, which might not be true in reality. However, considering the promise of elastic scalability of public cloud providers and general availability of surplus “spot” resources, this appears to be a sensible assumption."</w:t>
      </w:r>
    </w:p>
    <w:p>
      <w:pPr>
        <w:rPr/>
      </w:pPr>
      <w:r>
        <w:rPr>
          <w:rtl w:val="0"/>
        </w:rPr>
      </w:r>
    </w:p>
    <w:p>
      <w:pPr>
        <w:rPr/>
      </w:pPr>
      <w:r>
        <w:rPr>
          <w:rFonts w:ascii="Arial Unicode MS" w:cs="Arial Unicode MS" w:eastAsia="Arial Unicode MS" w:hAnsi="Arial Unicode MS"/>
          <w:rtl w:val="0"/>
        </w:rPr>
        <w:t xml:space="preserve">그러나 이 방어는 두 가지 이유로 뒷받침되지 않는다. 첫째, 탄력적 확장성과 spot 잉여 자원은 클라우드 전체가 집계 수준에서 갖는 성질이지 특정 시각의 특정 리전이 갖는 성질이 아니다. 탄소 인지 스케줄링이 만들어내는 것은 정확히 그 반대, 곧 저탄소 시간대의 특정 리전으로의 수요 집중이다. 즉 이 방어가 전제하는 잉여를, 이 방어가 옹호하는 기법이 스스로 소진시킨다. 둘째, 해당 방어 문장에는 인용이 붙어 있지 않으며 탄력적 확장성과 spot 자원이라는 용어는 그 논문의 다른 어느 곳에도 다시 등장하지 않는다. 본 연구가 검증 절에서 측정한 캘리포니아의 19시부터 21시까지의 집중이 바로 이 반박이 예측하는 현상이다.</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다만 같은 연구는 공간 이득이 낮음에도 높은 시간 변동 덕분에 순 절감이 유의미한 예외로 캘리포니아와 버지니아를 지목하였다. 이는 목적지가 고변동 리전일 때 시간 이동이 실질적으로 기여함을 시사한다. 리전별 용량이 유한하고 여유율 제약으로 공간 이동이 조기에 포화되면 부하가 고변동 리전까지 확산되므로, 이 예외가 일반적 상황이 될 수 있다.</w:t>
        <w:br w:type="textWrapping"/>
      </w:r>
      <w:hyperlink r:id="rId42">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원문: "there are some exceptions where regions have low spatial gains and high temporal gains and yet result in relatively high net carbon reductions, such as California (US-CA) and Virginia (US-VA)"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둘째, 탄소와 그 밖의 목적 사이의 가중치가 고정 상수로 설정된다. CASPER는 탄소와 서버 프로비저닝 비용 사이의 가중치를 실험 전반에서 0.5로 고정하며, 저자들 스스로 다른 값에서는 요청 재분배 양상과 결과가 달라질 것이라고 밝혔다. CICS 역시 탄소 비용과 피크 전력 인프라 비용의 가중합을 목적함수로 두고, 두 항의 상대적 비중에 따라 최적화 결과가 달라진다고 논한다. 그러나 리전 간 탄소집약도 격차는 시각에 따라 변하므로, 옮겨서 얻는 이득이 큰 시간과 그렇지 않은 시간에 동일한 가중치를 적용하는 것은 최적이라 보기 어렵다.</w:t>
        <w:br w:type="textWrapping"/>
      </w:r>
      <w:hyperlink r:id="rId43">
        <w:r w:rsidDel="00000000" w:rsidR="00000000" w:rsidRPr="00000000">
          <w:rPr>
            <w:color w:val="1155cc"/>
            <w:u w:val="single"/>
            <w:rtl w:val="0"/>
          </w:rPr>
          <w:t xml:space="preserve"> https://doi.org/10.1145/3634769.3634812</w:t>
          <w:br w:type="textWrapping"/>
        </w:r>
      </w:hyperlink>
      <w:r w:rsidDel="00000000" w:rsidR="00000000" w:rsidRPr="00000000">
        <w:rPr>
          <w:rFonts w:ascii="Arial Unicode MS" w:cs="Arial Unicode MS" w:eastAsia="Arial Unicode MS" w:hAnsi="Arial Unicode MS"/>
          <w:rtl w:val="0"/>
        </w:rPr>
        <w:t xml:space="preserve"> — 원문: "α = 0.5 (equal weights to both carbon and latency costs)" / "results would change with other α values"</w:t>
        <w:br w:type="textWrapping"/>
      </w:r>
      <w:hyperlink r:id="rId44">
        <w:r w:rsidDel="00000000" w:rsidR="00000000" w:rsidRPr="00000000">
          <w:rPr>
            <w:color w:val="1155cc"/>
            <w:u w:val="single"/>
            <w:rtl w:val="0"/>
          </w:rPr>
          <w:t xml:space="preserve"> https://arxiv.org/pdf/2106.11750</w:t>
          <w:br w:type="textWrapping"/>
        </w:r>
      </w:hyperlink>
      <w:r w:rsidDel="00000000" w:rsidR="00000000" w:rsidRPr="00000000">
        <w:rPr>
          <w:rFonts w:ascii="Arial Unicode MS" w:cs="Arial Unicode MS" w:eastAsia="Arial Unicode MS" w:hAnsi="Arial Unicode MS"/>
          <w:rtl w:val="0"/>
        </w:rPr>
        <w:t xml:space="preserve"> — 원문: "The optimization outcome changes depending on the desired tradeoffs between carbon footprint and efficiency"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셋째, 실제 시스템 구현과 시공간 통합이 아직 만나지 않았다. CICS는 프로덕션 배포 사례이나 시간 축에 한정되고, CASPER와 VMware GSLB는 공간 축에 한정된다. CarbonFlex는 용량 제약을 다루지만 단일 클러스터 안에 머문다. 두 축을 함께 다룬 Sukprasert 등의 연구는 시스템 구현이 아니라 상한 분석이다. 즉 용량 제약이 존재하는 조건에서 두 축을 결합한 시스템의 실제 절감량은 아직 보고된 바 없다.</w:t>
      </w:r>
    </w:p>
    <w:p w:rsidR="00000000" w:rsidDel="00000000" w:rsidP="00000000" w:rsidRDefault="00000000" w:rsidRPr="00000000" w14:paraId="0000010B">
      <w:pPr>
        <w:spacing w:line="276" w:lineRule="auto"/>
        <w:rPr>
          <w:sz w:val="32"/>
          <w:szCs w:val="32"/>
        </w:rPr>
      </w:pPr>
      <w:r w:rsidDel="00000000" w:rsidR="00000000" w:rsidRPr="00000000">
        <w:rPr>
          <w:rtl w:val="0"/>
        </w:rPr>
      </w:r>
    </w:p>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spacing w:line="276" w:lineRule="auto"/>
        <w:rPr/>
      </w:pPr>
      <w:r w:rsidDel="00000000" w:rsidR="00000000" w:rsidRPr="00000000">
        <w:rPr>
          <w:rtl w:val="0"/>
        </w:rPr>
      </w:r>
    </w:p>
    <w:p w:rsidR="00000000" w:rsidDel="00000000" w:rsidP="00000000" w:rsidRDefault="00000000" w:rsidRPr="00000000" w14:paraId="0000010E">
      <w:pPr>
        <w:spacing w:line="276" w:lineRule="auto"/>
        <w:rPr/>
      </w:pPr>
      <w:r w:rsidDel="00000000" w:rsidR="00000000" w:rsidRPr="00000000">
        <w:rPr>
          <w:rtl w:val="0"/>
        </w:rPr>
      </w:r>
    </w:p>
    <w:p w:rsidR="00000000" w:rsidDel="00000000" w:rsidP="00000000" w:rsidRDefault="00000000" w:rsidRPr="00000000" w14:paraId="0000010F">
      <w:pPr>
        <w:spacing w:line="276" w:lineRule="auto"/>
        <w:rPr/>
      </w:pPr>
      <w:r w:rsidDel="00000000" w:rsidR="00000000" w:rsidRPr="00000000">
        <w:rPr>
          <w:rtl w:val="0"/>
        </w:rPr>
      </w:r>
    </w:p>
    <w:p w:rsidR="00000000" w:rsidDel="00000000" w:rsidP="00000000" w:rsidRDefault="00000000" w:rsidRPr="00000000" w14:paraId="00000110">
      <w:pPr>
        <w:spacing w:line="276" w:lineRule="auto"/>
        <w:rPr/>
      </w:pPr>
      <w:r w:rsidDel="00000000" w:rsidR="00000000" w:rsidRPr="00000000">
        <w:rPr>
          <w:rtl w:val="0"/>
        </w:rPr>
      </w:r>
    </w:p>
    <w:p w:rsidR="00000000" w:rsidDel="00000000" w:rsidP="00000000" w:rsidRDefault="00000000" w:rsidRPr="00000000" w14:paraId="00000111">
      <w:pPr>
        <w:spacing w:line="276" w:lineRule="auto"/>
        <w:rPr/>
      </w:pPr>
      <w:r w:rsidDel="00000000" w:rsidR="00000000" w:rsidRPr="00000000">
        <w:rPr>
          <w:rtl w:val="0"/>
        </w:rPr>
      </w:r>
    </w:p>
    <w:p w:rsidR="00000000" w:rsidDel="00000000" w:rsidP="00000000" w:rsidRDefault="00000000" w:rsidRPr="00000000" w14:paraId="00000112">
      <w:pPr>
        <w:spacing w:line="276" w:lineRule="auto"/>
        <w:rPr>
          <w:sz w:val="32"/>
          <w:szCs w:val="32"/>
        </w:rPr>
      </w:pPr>
      <w:r w:rsidDel="00000000" w:rsidR="00000000" w:rsidRPr="00000000">
        <w:rPr>
          <w:rFonts w:ascii="Arial Unicode MS" w:cs="Arial Unicode MS" w:eastAsia="Arial Unicode MS" w:hAnsi="Arial Unicode MS"/>
          <w:sz w:val="32"/>
          <w:szCs w:val="32"/>
          <w:rtl w:val="0"/>
        </w:rPr>
        <w:t xml:space="preserve">제안하는 방법</w:t>
      </w:r>
    </w:p>
    <w:p>
      <w:pPr>
        <w:rPr>
          <w:b w:val="1"/>
          <w:bCs w:val="1"/>
          <w:sz w:val="28"/>
          <w:szCs w:val="28"/>
        </w:rPr>
      </w:pPr>
      <w:r>
        <w:rPr>
          <w:rFonts w:ascii="Arial Unicode MS" w:cs="Arial Unicode MS" w:eastAsia="Arial Unicode MS" w:hAnsi="Arial Unicode MS"/>
          <w:b w:val="1"/>
          <w:bCs w:val="1"/>
          <w:sz w:val="28"/>
          <w:szCs w:val="28"/>
          <w:rtl w:val="0"/>
        </w:rPr>
        <w:t xml:space="preserve">개요</w:t>
      </w:r>
    </w:p>
    <w:p>
      <w:pPr>
        <w:rPr/>
      </w:pPr>
      <w:r>
        <w:rPr>
          <w:rFonts w:ascii="Arial Unicode MS" w:cs="Arial Unicode MS" w:eastAsia="Arial Unicode MS" w:hAnsi="Arial Unicode MS"/>
          <w:rtl w:val="0"/>
        </w:rPr>
        <w:t xml:space="preserve">CAST는 예측, 공간 이동, 시간 이동의 세 단계로 구성된다. 예측 단계는 리전별로 향후 24시간의 탄소집약도를 산출한다. 공간 이동 단계는 매 1시간 슬롯마다 그 슬롯에 제출된 작업의 실행 리전을 결정한다. 시간 이동 단계는 배정된 리전 안에서 각 작업의 실행 시각을 마감 이내로 결정한다. 세 단계는 세 가지 데이터만 주고받는다. 예측 단계는 리전별 24개 값의 배열을 넘기고, 공간 이동 단계는 작업별 실행 리전을 넘기며, 시간 이동 단계는 작업별 실행 시각과 배출량을 산출한다. 각 단계는 다른 단계의 내부 구현을 알지 못한다.</w:t>
      </w:r>
    </w:p>
    <w:p>
      <w:pPr>
        <w:rPr/>
      </w:pPr>
      <w:r>
        <w:rPr>
          <w:rtl w:val="0"/>
        </w:rPr>
      </w:r>
    </w:p>
    <w:p>
      <w:pPr>
        <w:jc w:val="center"/>
        <w:rPr/>
      </w:pPr>
      <w:r>
        <w:rPr>
          <w:rtl w:val="0"/>
        </w:rPr>
        <w:drawing>
          <wp:inline distT="0" distB="0" distL="0" distR="0">
            <wp:extent cx="5600000" cy="2138000"/>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CASTF0"/>
                    <a:stretch>
                      <a:fillRect/>
                    </a:stretch>
                  </pic:blipFill>
                  <pic:spPr>
                    <a:xfrm>
                      <a:off x="0" y="0"/>
                      <a:ext cx="5600000" cy="2138000"/>
                    </a:xfrm>
                    <a:prstGeom prst="rect">
                      <a:avLst/>
                    </a:prstGeom>
                  </pic:spPr>
                </pic:pic>
              </a:graphicData>
            </a:graphic>
          </wp:inline>
        </w:drawing>
      </w:r>
    </w:p>
    <w:p>
      <w:pPr>
        <w:jc w:val="center"/>
        <w:rPr>
          <w:sz w:val="18"/>
          <w:szCs w:val="18"/>
        </w:rPr>
      </w:pPr>
      <w:r>
        <w:rPr>
          <w:rFonts w:ascii="Arial Unicode MS" w:cs="Arial Unicode MS" w:eastAsia="Arial Unicode MS" w:hAnsi="Arial Unicode MS"/>
          <w:sz w:val="18"/>
          <w:szCs w:val="18"/>
          <w:rtl w:val="0"/>
        </w:rPr>
        <w:t xml:space="preserve">그림 1. CAST 시스템 구성. 예측, 공간 이동, 시간 이동의 세 단계로 구성되며 각 단계는 정해진 데이터만 주고받는다.</w:t>
      </w:r>
    </w:p>
    <w:p>
      <w:pPr>
        <w:rPr/>
      </w:pPr>
      <w:r>
        <w:rPr>
          <w:rtl w:val="0"/>
        </w:rPr>
      </w:r>
    </w:p>
    <w:p>
      <w:pPr>
        <w:rPr/>
      </w:pPr>
      <w:r>
        <w:rPr>
          <w:rFonts w:ascii="Arial Unicode MS" w:cs="Arial Unicode MS" w:eastAsia="Arial Unicode MS" w:hAnsi="Arial Unicode MS"/>
          <w:rtl w:val="0"/>
        </w:rPr>
        <w:t xml:space="preserve">그림 1은 세 단계의 연결과 각 단계가 주고받는 데이터를 나타낸다.</w:t>
      </w:r>
    </w:p>
    <w:p>
      <w:pPr>
        <w:rPr/>
      </w:pPr>
      <w:r>
        <w:rPr>
          <w:rtl w:val="0"/>
        </w:rPr>
      </w:r>
    </w:p>
    <w:p>
      <w:pPr>
        <w:rPr/>
      </w:pPr>
      <w:r>
        <w:rPr>
          <w:rFonts w:ascii="Arial Unicode MS" w:cs="Arial Unicode MS" w:eastAsia="Arial Unicode MS" w:hAnsi="Arial Unicode MS"/>
          <w:rtl w:val="0"/>
        </w:rPr>
        <w:t xml:space="preserve">설계 원칙은 세 가지다.</w:t>
      </w:r>
    </w:p>
    <w:p>
      <w:pPr>
        <w:rPr/>
      </w:pPr>
      <w:r>
        <w:rPr>
          <w:rtl w:val="0"/>
        </w:rPr>
      </w:r>
    </w:p>
    <w:p>
      <w:pPr>
        <w:rPr/>
      </w:pPr>
      <w:r>
        <w:rPr>
          <w:rFonts w:ascii="Arial Unicode MS" w:cs="Arial Unicode MS" w:eastAsia="Arial Unicode MS" w:hAnsi="Arial Unicode MS"/>
          <w:rtl w:val="0"/>
        </w:rPr>
        <w:t xml:space="preserve">첫째, 공간 이동을 먼저 적용하고 시간 이동을 보완적으로 적용한다. 시간 이동을 단독 수단으로 두지 않는 이유는 다수 리전에서 일간 변동성이 작기 때문이다. 선행 연구는 전 세계 70% 이상의 리전이 일간 변동성이 낮으며, 24시간 여유를 가정한 시간 이동 단독의 전 지구 평균 절감이 8.4%에 그친다고 보고하였다. https://doi.org/10.1145/3627703.3650079 — 원문: "more than 70% of regions worldwide have low daily carbon-intensity variations due to their reliance on fossil fuel-based, hydro, or nuclear power generation." — 원문: "the carbon reductions vary from 31 g·CO2eq to 127 g·CO2eq, 8.4% and 34% relative to the average global emissions"</w:t>
      </w:r>
    </w:p>
    <w:p>
      <w:pPr>
        <w:rPr/>
      </w:pPr>
      <w:r>
        <w:rPr>
          <w:rtl w:val="0"/>
        </w:rPr>
      </w:r>
    </w:p>
    <w:p>
      <w:pPr>
        <w:rPr/>
      </w:pPr>
      <w:r>
        <w:rPr>
          <w:rFonts w:ascii="Arial Unicode MS" w:cs="Arial Unicode MS" w:eastAsia="Arial Unicode MS" w:hAnsi="Arial Unicode MS"/>
          <w:rtl w:val="0"/>
        </w:rPr>
        <w:t xml:space="preserve">둘째, 탄소와 지연 사이의 가중치를 고정 상수로 두지 않는다. 리전 간 탄소집약도 격차는 시각에 따라 변하므로, 옮겨서 얻는 이득이 큰 시간과 그렇지 않은 시간에 동일한 가중치를 적용하는 것은 최적이라 보기 어렵다.</w:t>
      </w:r>
    </w:p>
    <w:p>
      <w:pPr>
        <w:rPr/>
      </w:pPr>
      <w:r>
        <w:rPr>
          <w:rtl w:val="0"/>
        </w:rPr>
      </w:r>
    </w:p>
    <w:p>
      <w:pPr>
        <w:rPr/>
      </w:pPr>
      <w:r>
        <w:rPr>
          <w:rFonts w:ascii="Arial Unicode MS" w:cs="Arial Unicode MS" w:eastAsia="Arial Unicode MS" w:hAnsi="Arial Unicode MS"/>
          <w:rtl w:val="0"/>
        </w:rPr>
        <w:t xml:space="preserve">셋째, 배치 결정은 예측값으로 수행하고 배출량 산정은 실측값으로 수행한다. 예측값으로 결정하고 예측값으로 채점하면 예측 오차의 대가가 결과에서 사라진다.</w:t>
      </w:r>
    </w:p>
    <w:p>
      <w:pPr>
        <w:rPr/>
      </w:pPr>
      <w:r>
        <w:rPr>
          <w:rtl w:val="0"/>
        </w:rPr>
      </w:r>
    </w:p>
    <w:p>
      <w:pPr>
        <w:rPr/>
      </w:pPr>
      <w:r>
        <w:rPr>
          <w:rtl w:val="0"/>
        </w:rPr>
      </w:r>
    </w:p>
    <w:p>
      <w:pPr>
        <w:rPr>
          <w:b w:val="1"/>
          <w:bCs w:val="1"/>
          <w:sz w:val="28"/>
          <w:szCs w:val="28"/>
        </w:rPr>
      </w:pPr>
      <w:r>
        <w:rPr>
          <w:rFonts w:ascii="Arial Unicode MS" w:cs="Arial Unicode MS" w:eastAsia="Arial Unicode MS" w:hAnsi="Arial Unicode MS"/>
          <w:b w:val="1"/>
          <w:bCs w:val="1"/>
          <w:sz w:val="28"/>
          <w:szCs w:val="28"/>
          <w:rtl w:val="0"/>
        </w:rPr>
        <w:t xml:space="preserve">표기와 형식화</w:t>
      </w:r>
    </w:p>
    <w:p>
      <w:pPr>
        <w:rPr/>
      </w:pPr>
      <w:r>
        <w:rPr>
          <w:rFonts w:ascii="Arial Unicode MS" w:cs="Arial Unicode MS" w:eastAsia="Arial Unicode MS" w:hAnsi="Arial Unicode MS"/>
          <w:rtl w:val="0"/>
        </w:rPr>
        <w:t xml:space="preserve">작업 집합을 J, 리전 집합을 R, 슬롯 집합을 T로 둔다. 슬롯 길이는 1시간이며, 탄소집약도 데이터의 시간 해상도와 일치시킨 값이다. (근거 필요 — Electricity Maps가 1시간 해상도로 제공한다는 공식 문서 URL을 붙일 것) 작업 j는 출발 리전 o_j, 제출 시각 s_j, 실행 시간 d_j, 지연 등급 k_j, 지연 예산 L_j를 갖는다. 작업의 마감은 D_j = s_j + L_j + d_j로 정의한다. 리전 r의 시각 t 실측 탄소집약도를 C_r(t), 그 예측값을 Ĉ_r(t)로 표기한다. 리전 o에서 r로의 왕복 네트워크 지연을 l_or, 리전 r의 처리 용량을 cap_r, 여유율을 η로 둔다. 결정 변수는 배정 변수 x_jr ∈ {0,1}과 실행 시작 시각 τ_j 두 가지다.</w:t>
      </w:r>
    </w:p>
    <w:p>
      <w:pPr>
        <w:rPr/>
      </w:pPr>
      <w:r>
        <w:rPr>
          <w:rtl w:val="0"/>
        </w:rPr>
      </w:r>
    </w:p>
    <w:p>
      <w:pPr>
        <w:rPr/>
      </w:pPr>
      <w:r>
        <w:rPr>
          <w:rFonts w:ascii="Arial Unicode MS" w:cs="Arial Unicode MS" w:eastAsia="Arial Unicode MS" w:hAnsi="Arial Unicode MS"/>
          <w:rtl w:val="0"/>
        </w:rPr>
        <w:t xml:space="preserve">목적함수는 총 배출량이다.</w:t>
      </w:r>
    </w:p>
    <w:p>
      <w:pPr>
        <w:jc w:val="center"/>
        <w:rPr>
          <w:i w:val="1"/>
          <w:iCs w:val="1"/>
        </w:rPr>
      </w:pPr>
      <w:r>
        <w:rPr>
          <w:rFonts w:ascii="Arial Unicode MS" w:cs="Arial Unicode MS" w:eastAsia="Arial Unicode MS" w:hAnsi="Arial Unicode MS"/>
          <w:i w:val="1"/>
          <w:iCs w:val="1"/>
          <w:rtl w:val="0"/>
        </w:rPr>
        <w:t xml:space="preserve">min  Σ_(j∈J)  P · ∫_(τ_j)^(τ_j+d_j)  C_r(j)(t) dt          … (1)</w:t>
      </w:r>
    </w:p>
    <w:p>
      <w:pPr>
        <w:rPr/>
      </w:pPr>
      <w:r>
        <w:rPr>
          <w:rFonts w:ascii="Arial Unicode MS" w:cs="Arial Unicode MS" w:eastAsia="Arial Unicode MS" w:hAnsi="Arial Unicode MS"/>
          <w:rtl w:val="0"/>
        </w:rPr>
        <w:t xml:space="preserve">여기서 r(j)는 x_jr = 1인 리전이고 P는 작업의 소비 전력이다. 제약은 네 가지다.</w:t>
      </w:r>
    </w:p>
    <w:p>
      <w:pPr>
        <w:jc w:val="center"/>
        <w:rPr>
          <w:i w:val="1"/>
          <w:iCs w:val="1"/>
        </w:rPr>
      </w:pPr>
      <w:r>
        <w:rPr>
          <w:rFonts w:ascii="Arial Unicode MS" w:cs="Arial Unicode MS" w:eastAsia="Arial Unicode MS" w:hAnsi="Arial Unicode MS"/>
          <w:i w:val="1"/>
          <w:iCs w:val="1"/>
          <w:rtl w:val="0"/>
        </w:rPr>
        <w:t xml:space="preserve">Σ_(r∈R) x_jr = 1,   ∀j ∈ J          … (2)</w:t>
      </w:r>
    </w:p>
    <w:p>
      <w:pPr>
        <w:jc w:val="center"/>
        <w:rPr>
          <w:i w:val="1"/>
          <w:iCs w:val="1"/>
        </w:rPr>
      </w:pPr>
      <w:r>
        <w:rPr>
          <w:rFonts w:ascii="Arial Unicode MS" w:cs="Arial Unicode MS" w:eastAsia="Arial Unicode MS" w:hAnsi="Arial Unicode MS"/>
          <w:i w:val="1"/>
          <w:iCs w:val="1"/>
          <w:rtl w:val="0"/>
        </w:rPr>
        <w:t xml:space="preserve">| { j : r(j) = r,  τ_j ≤ t &lt; τ_j + d_j } | ≤ ⌊η · cap_r⌋,   ∀r ∈ R, ∀t          … (3)</w:t>
      </w:r>
    </w:p>
    <w:p>
      <w:pPr>
        <w:jc w:val="center"/>
        <w:rPr>
          <w:i w:val="1"/>
          <w:iCs w:val="1"/>
        </w:rPr>
      </w:pPr>
      <w:r>
        <w:rPr>
          <w:rFonts w:ascii="Arial Unicode MS" w:cs="Arial Unicode MS" w:eastAsia="Arial Unicode MS" w:hAnsi="Arial Unicode MS"/>
          <w:i w:val="1"/>
          <w:iCs w:val="1"/>
          <w:rtl w:val="0"/>
        </w:rPr>
        <w:t xml:space="preserve">s_j ≤ τ_j,   τ_j + d_j ≤ D_j,   ∀j ∈ J          … (4)</w:t>
      </w:r>
    </w:p>
    <w:p>
      <w:pPr>
        <w:jc w:val="center"/>
        <w:rPr>
          <w:i w:val="1"/>
          <w:iCs w:val="1"/>
        </w:rPr>
      </w:pPr>
      <w:r>
        <w:rPr>
          <w:rFonts w:ascii="Arial Unicode MS" w:cs="Arial Unicode MS" w:eastAsia="Arial Unicode MS" w:hAnsi="Arial Unicode MS"/>
          <w:i w:val="1"/>
          <w:iCs w:val="1"/>
          <w:rtl w:val="0"/>
        </w:rPr>
        <w:t xml:space="preserve">(τ_j − s_j) + l_(o_j r(j)) ≤ L_j,   ∀j ∈ J          … (5)</w:t>
      </w:r>
    </w:p>
    <w:p>
      <w:pPr>
        <w:rPr/>
      </w:pPr>
      <w:r>
        <w:rPr>
          <w:rFonts w:ascii="Arial Unicode MS" w:cs="Arial Unicode MS" w:eastAsia="Arial Unicode MS" w:hAnsi="Arial Unicode MS"/>
          <w:rtl w:val="0"/>
        </w:rP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수치상으로도 구속되지 않는다. 네트워크 지연 행렬의 최댓값은 244ms이고 가장 급한 등급인 k=5의 지연 예산은 최소 1초이므로, 어떤 작업에서도 네트워크 지연이 지연 예산을 잠식하지 않는다. 나아가 지연 예산이 슬롯 길이인 1시간보다 짧은 등급은 시간 이동의 대상이 되지 않으므로, 이들에게는 네트워크 지연만이 유일한 지연 요인이 된다. 시간 이동이 적용되는 k=1과 k=2의 지연 예산은 2시간 이상이므로 244ms는 무시할 수준이다.</w:t>
      </w:r>
    </w:p>
    <w:p>
      <w:pPr>
        <w:rPr/>
      </w:pPr>
      <w:r>
        <w:rPr>
          <w:rtl w:val="0"/>
        </w:rPr>
      </w:r>
    </w:p>
    <w:p>
      <w:pPr>
        <w:rPr/>
      </w:pPr>
      <w:r>
        <w:rPr>
          <w:rFonts w:ascii="Arial Unicode MS" w:cs="Arial Unicode MS" w:eastAsia="Arial Unicode MS" w:hAnsi="Arial Unicode MS"/>
          <w:rtl w:val="0"/>
        </w:rPr>
        <w:t xml:space="preserve">식 (3)이 본 연구의 형식화가 선행 연구와 갈라지는 지점이다. 두 축을 결합한 상한 분석을 수행한 선행 연구는 용량 제약을 공간 이동 단독 분석에서만 도입하고 두 축을 결합한 분석에서는 도입하지 않았다. https://doi.org/10.1145/3627703.3650079 — 원문: "Since the scenario where all datacenter regions possess an unbounded capacity is not feasible, we also aim to assess the potential reductions under a constrained setting by considering capacity constraints."</w:t>
      </w:r>
    </w:p>
    <w:p>
      <w:pPr>
        <w:rPr/>
      </w:pPr>
      <w:r>
        <w:rPr>
          <w:rtl w:val="0"/>
        </w:rPr>
      </w:r>
    </w:p>
    <w:p>
      <w:pPr>
        <w:rPr/>
      </w:pPr>
      <w:r>
        <w:rPr>
          <w:rFonts w:ascii="Arial Unicode MS" w:cs="Arial Unicode MS" w:eastAsia="Arial Unicode MS" w:hAnsi="Arial Unicode MS"/>
          <w:rtl w:val="0"/>
        </w:rPr>
        <w:t xml:space="preserve">식 (1)~(5)를 단일 정수 계획 문제로 푸는 것은 두 가지 이유로 채택하지 않았다. 첫째, 규모다. 작업 14만 6천 건에 리전 8개와 슬롯 24개를 곱하면 이진 변수가 2,800만 개를 넘는다. (근거 필요 — 슬롯을 24개로 잡을지 연간 8,760개로 잡을지에 따라 수치가 달라짐. 재검토할 것) 둘째, 온라인성이다. 작업은 미리 주어지지 않고 시간에 따라 도착하며, 배정 시점에 이후 도착할 작업을 알 수 없다. 따라서 CAST는 문제를 두 단계로 분해한다. 공간 이동 단계는 슬롯 단위로 그 슬롯의 작업만을 대상으로 식 (2)(3)을 만족하는 배정을 구하고, 시간 이동 단계는 배정된 리전을 고정한 채 실행 시각을 구한다. 이 분해는 전역 최적을 보장하지 않는다. 대신 각 단계가 도착 시점에 결정 가능한 정보만으로 결정을 내린다.</w:t>
      </w:r>
    </w:p>
    <w:p>
      <w:pPr>
        <w:rPr/>
      </w:pPr>
      <w:r>
        <w:rPr>
          <w:rtl w:val="0"/>
        </w:rPr>
      </w:r>
    </w:p>
    <w:p>
      <w:pPr>
        <w:rPr/>
      </w:pPr>
      <w:r>
        <w:rPr>
          <w:rtl w:val="0"/>
        </w:rPr>
      </w:r>
    </w:p>
    <w:p>
      <w:pPr>
        <w:rPr>
          <w:b w:val="1"/>
          <w:bCs w:val="1"/>
          <w:sz w:val="28"/>
          <w:szCs w:val="28"/>
        </w:rPr>
      </w:pPr>
      <w:r>
        <w:rPr>
          <w:rFonts w:ascii="Arial Unicode MS" w:cs="Arial Unicode MS" w:eastAsia="Arial Unicode MS" w:hAnsi="Arial Unicode MS"/>
          <w:b w:val="1"/>
          <w:bCs w:val="1"/>
          <w:sz w:val="28"/>
          <w:szCs w:val="28"/>
          <w:rtl w:val="0"/>
        </w:rPr>
        <w:t xml:space="preserve">탄소집약도 예측</w:t>
      </w:r>
    </w:p>
    <w:p>
      <w:pPr>
        <w:rPr/>
      </w:pPr>
      <w:r>
        <w:rPr>
          <w:rFonts w:ascii="Arial Unicode MS" w:cs="Arial Unicode MS" w:eastAsia="Arial Unicode MS" w:hAnsi="Arial Unicode MS"/>
          <w:rtl w:val="0"/>
        </w:rPr>
        <w:t xml:space="preserve">예측 모듈은 리전마다 독립된 LSTM 모델을 둔다. 입력은 과거 168시간, 즉 1주일의 시퀀스다. 168시간을 택한 이유는 대상 신호가 24시간 주기와 함께 주간 주기를 갖기 때문이다. 선행 연구는 하이퍼스케일 데이터센터가 위치한 40개 리전 중 35개가 24시간 주기를 주기성 점수 0.5 이상으로 나타냈고 상당수가 주간 주기도 함께 보였다고 보고하였다. https://doi.org/10.1145/3627703.3650079 — 원문: "35 of the 40 regions (87%) exhibit a 24-hour period… with a periodicity score of 0.5 or higher"</w:t>
      </w:r>
    </w:p>
    <w:p>
      <w:pPr>
        <w:rPr/>
      </w:pPr>
      <w:r>
        <w:rPr>
          <w:rtl w:val="0"/>
        </w:rPr>
      </w:r>
    </w:p>
    <w:p>
      <w:pPr>
        <w:rPr/>
      </w:pPr>
      <w:r>
        <w:rPr>
          <w:rFonts w:ascii="Arial Unicode MS" w:cs="Arial Unicode MS" w:eastAsia="Arial Unicode MS" w:hAnsi="Arial Unicode MS"/>
          <w:rtl w:val="0"/>
        </w:rPr>
        <w:t xml:space="preserve">입력 피처는 10종이다. 탄소집약도, 무탄소 전원 비중, 재생에너지 비중, 시간 주기성을 나타내는 sin·cos 쌍 3종, 공휴일 플래그로 구성된다. 기상 데이터가 확보된 3개 리전(캘리포니아, 텍사스, 독일)은 풍속과 일사량이 추가되어 12종을 사용하며 (근거 필요 — 기상 데이터 출처 URL), 향후 24시간 기상 예보를 LSTM 은닉 상태와 결합하는 별도 헤드를 둔다. 이 세 리전을 택한 것은 풍력·태양광 비중이 높아 변동성이 큰 계통이기 때문이다. https://doi.org/10.1145/3627703.3650079 — 원문: "grids with higher fractions of intermittent sources, such as wind and solar, exhibit higher variations"</w:t>
      </w:r>
    </w:p>
    <w:p>
      <w:pPr>
        <w:rPr/>
      </w:pPr>
      <w:r>
        <w:rPr>
          <w:rtl w:val="0"/>
        </w:rPr>
      </w:r>
    </w:p>
    <w:p>
      <w:pPr>
        <w:rPr/>
      </w:pPr>
      <w:r>
        <w:rPr>
          <w:rFonts w:ascii="Arial Unicode MS" w:cs="Arial Unicode MS" w:eastAsia="Arial Unicode MS" w:hAnsi="Arial Unicode MS"/>
          <w:rtl w:val="0"/>
        </w:rPr>
        <w:t xml:space="preserve">(중요 — 이 세 리전의 기상 입력은 현재 구현에서 실측 날씨를 슬라이싱해 쓰고 있음. 진짜 예보가 아님. 논문에 이대로 쓰면 안 되고, 한계로 명시하거나 예보 API를 붙여야 함)</w:t>
      </w:r>
    </w:p>
    <w:p>
      <w:pPr>
        <w:rPr/>
      </w:pPr>
      <w:r>
        <w:rPr>
          <w:rtl w:val="0"/>
        </w:rPr>
      </w:r>
    </w:p>
    <w:p>
      <w:pPr>
        <w:rPr/>
      </w:pPr>
      <w:r>
        <w:rPr>
          <w:rFonts w:ascii="Arial Unicode MS" w:cs="Arial Unicode MS" w:eastAsia="Arial Unicode MS" w:hAnsi="Arial Unicode MS"/>
          <w:rtl w:val="0"/>
        </w:rPr>
        <w:t xml:space="preserve">학습·검증·평가 구간은 시간순으로 분리한다. 2021년부터 2023년까지를 학습에, 2024년을 검증에, 2025년을 평가에 사용한다. (근거 필요 — 결측 처리 방식. 2025년 1월 1~7일이 1월 8일 프로파일 반복으로 채워져 있음을 밝힐 것) 평가는 롤링 예측 방식으로 수행한다. 즉 평가 구간의 각 시각마다 그 시점까지의 관측만을 입력으로 향후 24시간을 예측하고, 시각을 한 시간씩 전진시키며 이를 반복한다. 미래 관측이 예측에 유입되지 않도록 하기 위함이다.</w:t>
      </w:r>
    </w:p>
    <w:p>
      <w:pPr>
        <w:rPr/>
      </w:pPr>
      <w:r>
        <w:rPr>
          <w:rtl w:val="0"/>
        </w:rPr>
      </w:r>
    </w:p>
    <w:p>
      <w:pPr>
        <w:rPr/>
      </w:pPr>
      <w:r>
        <w:rPr>
          <w:rFonts w:ascii="Arial Unicode MS" w:cs="Arial Unicode MS" w:eastAsia="Arial Unicode MS" w:hAnsi="Arial Unicode MS"/>
          <w:rtl w:val="0"/>
        </w:rPr>
        <w:t xml:space="preserve">CAST의 예측 모듈은 발전원별 생산량을 먼저 예측하고 여기에 배출계수를 적용하는 2단 구조를 취하지 않고, 탄소집약도를 직접 예측한다. 발전원별 시간 단위 공개 예보에 의존하지 않기 위해서다. 선행 연구인 DACF는 공개된 발전원별 예보를 활용하는 구조를 지향하였으나, 실제로 그러한 예보가 확보된 리전은 캘리포니아에 한정되었고 나머지 리전은 자체 모델로 대체하였다. 본 연구의 대상에는 한국·일본·인도가 포함되어 있어, 발전원별 공개 데이터의 가용성이 낮은 리전에서도 동작하는 구조가 필요하다. https://doi.org/10.1145/3538637.3538849</w:t>
      </w:r>
    </w:p>
    <w:p>
      <w:pPr>
        <w:rPr/>
      </w:pPr>
      <w:r>
        <w:rPr>
          <w:rtl w:val="0"/>
        </w:rPr>
      </w:r>
    </w:p>
    <w:p>
      <w:pPr>
        <w:rPr/>
      </w:pPr>
      <w:r>
        <w:rPr>
          <w:rtl w:val="0"/>
        </w:rPr>
      </w:r>
    </w:p>
    <w:p>
      <w:pPr>
        <w:rPr>
          <w:b w:val="1"/>
          <w:bCs w:val="1"/>
          <w:sz w:val="28"/>
          <w:szCs w:val="28"/>
        </w:rPr>
      </w:pPr>
      <w:r>
        <w:rPr>
          <w:rFonts w:ascii="Arial Unicode MS" w:cs="Arial Unicode MS" w:eastAsia="Arial Unicode MS" w:hAnsi="Arial Unicode MS"/>
          <w:b w:val="1"/>
          <w:bCs w:val="1"/>
          <w:sz w:val="28"/>
          <w:szCs w:val="28"/>
          <w:rtl w:val="0"/>
        </w:rPr>
        <w:t xml:space="preserve">공간 이동 — 슬롯 단위 정수 계획 라우팅</w:t>
      </w:r>
    </w:p>
    <w:p>
      <w:pPr>
        <w:rPr/>
      </w:pPr>
      <w:r>
        <w:rPr>
          <w:rFonts w:ascii="Arial Unicode MS" w:cs="Arial Unicode MS" w:eastAsia="Arial Unicode MS" w:hAnsi="Arial Unicode MS"/>
          <w:rtl w:val="0"/>
        </w:rPr>
        <w:t xml:space="preserve">공간 이동 단계는 매 슬롯마다 다음 다섯 가지를 수행한다. 첫째, 그 슬롯에 제출된 작업을 수집한다. 둘째, 예측 모듈로부터 리전별 탄소집약도 예측값을 받는다. 셋째, 탄소 비용과 지연 비용을 각각 정규화한다. 넷째, 정수 계획 문제를 풀어 배정을 확정한다. 다섯째, 배정된 작업을 실행 시간 동안 해당 리전의 용량에 반영한다.</w:t>
      </w:r>
    </w:p>
    <w:p>
      <w:pPr>
        <w:rPr/>
      </w:pPr>
      <w:r>
        <w:rPr>
          <w:rtl w:val="0"/>
        </w:rPr>
      </w:r>
    </w:p>
    <w:p>
      <w:pPr>
        <w:rPr/>
      </w:pPr>
      <w:r>
        <w:rPr>
          <w:rFonts w:ascii="Arial Unicode MS" w:cs="Arial Unicode MS" w:eastAsia="Arial Unicode MS" w:hAnsi="Arial Unicode MS"/>
          <w:rtl w:val="0"/>
        </w:rPr>
        <w:t xml:space="preserve">두 비용은 서로 다른 방식으로 정규화한다. 탄소 비용은 슬롯마다 그 슬롯의 리전별 최댓값으로 나누고, 지연 비용은 전 구간에서 고정된 값인 지연 행렬의 최댓값 244ms로 나눈다.</w:t>
      </w:r>
    </w:p>
    <w:p>
      <w:pPr>
        <w:jc w:val="center"/>
        <w:rPr>
          <w:i w:val="1"/>
          <w:iCs w:val="1"/>
        </w:rPr>
      </w:pPr>
      <w:r>
        <w:rPr>
          <w:rFonts w:ascii="Arial Unicode MS" w:cs="Arial Unicode MS" w:eastAsia="Arial Unicode MS" w:hAnsi="Arial Unicode MS"/>
          <w:i w:val="1"/>
          <w:iCs w:val="1"/>
          <w:rtl w:val="0"/>
        </w:rPr>
        <w:t xml:space="preserve">M̃_r = Ĉ_r / max_(r′) Ĉ_(r′) ,      l̃_(or) = l_(or) / 244          … (6)</w:t>
      </w:r>
    </w:p>
    <w:p>
      <w:pPr>
        <w:rPr/>
      </w:pPr>
      <w:r>
        <w:rPr>
          <w:rFonts w:ascii="Arial Unicode MS" w:cs="Arial Unicode MS" w:eastAsia="Arial Unicode MS" w:hAnsi="Arial Unicode MS"/>
          <w:rtl w:val="0"/>
        </w:rPr>
        <w:t xml:space="preserve">탄소 비용만 슬롯별로 정규화하는 것은 슬롯 간 탄소 격차의 절대적 크기를 가중치 해석에서 분리하기 위함이다. 고정된 분모를 쓰면 전 리전이 함께 깨끗한 슬롯에서 탄소 항이 일률적으로 작아져, 같은 가중치가 슬롯마다 다른 의미를 갖게 된다.</w:t>
      </w:r>
    </w:p>
    <w:p>
      <w:pPr>
        <w:rPr/>
      </w:pPr>
      <w:r>
        <w:rPr>
          <w:rtl w:val="0"/>
        </w:rPr>
      </w:r>
    </w:p>
    <w:p>
      <w:pPr>
        <w:rPr/>
      </w:pPr>
      <w:r>
        <w:rPr>
          <w:rFonts w:ascii="Arial Unicode MS" w:cs="Arial Unicode MS" w:eastAsia="Arial Unicode MS" w:hAnsi="Arial Unicode MS"/>
          <w:rtl w:val="0"/>
        </w:rPr>
        <w:t xml:space="preserve">슬롯의 배정 문제는 다음과 같다. 배치에 속한 작업을 j, 리전을 r, 배정 변수를 x_jr, 미배정 변수를 s_j로 둔다.</w:t>
      </w:r>
    </w:p>
    <w:p>
      <w:pPr>
        <w:jc w:val="center"/>
        <w:rPr>
          <w:i w:val="1"/>
          <w:iCs w:val="1"/>
        </w:rPr>
      </w:pPr>
      <w:r>
        <w:rPr>
          <w:rFonts w:ascii="Arial Unicode MS" w:cs="Arial Unicode MS" w:eastAsia="Arial Unicode MS" w:hAnsi="Arial Unicode MS"/>
          <w:i w:val="1"/>
          <w:iCs w:val="1"/>
          <w:rtl w:val="0"/>
        </w:rPr>
        <w:t xml:space="preserve">min  Σ_j Σ_r ( α · M̃_r + (1 − α) · l̃_(o_j r) ) · x_jr  +  P_slack · Σ_j s_j          … (7)</w:t>
      </w:r>
    </w:p>
    <w:p>
      <w:pPr>
        <w:jc w:val="center"/>
        <w:rPr>
          <w:i w:val="1"/>
          <w:iCs w:val="1"/>
        </w:rPr>
      </w:pPr>
      <w:r>
        <w:rPr>
          <w:rFonts w:ascii="Arial Unicode MS" w:cs="Arial Unicode MS" w:eastAsia="Arial Unicode MS" w:hAnsi="Arial Unicode MS"/>
          <w:i w:val="1"/>
          <w:iCs w:val="1"/>
          <w:rtl w:val="0"/>
        </w:rPr>
        <w:t xml:space="preserve">s.t.   Σ_r x_jr + s_j = 1,  ∀j       Σ_j x_jr ≤ avail_r,  ∀r          … (8)</w:t>
      </w:r>
    </w:p>
    <w:p>
      <w:pPr>
        <w:rPr/>
      </w:pPr>
      <w:r>
        <w:rPr>
          <w:rFonts w:ascii="Arial Unicode MS" w:cs="Arial Unicode MS" w:eastAsia="Arial Unicode MS" w:hAnsi="Arial Unicode MS"/>
          <w:rtl w:val="0"/>
        </w:rPr>
        <w:t xml:space="preserve">avail_r은 여유율을 적용한 용량에서 현재 실행 중인 작업 수를 뺀 값이다. 미배정 변수 s_j는 어떤 리전에도 배정할 수 없는 상황에서 문제가 실행 불가능해지는 것을 막는다. P_slack에는 어떤 배정 비용보다도 큰 값을 주어, 배정이 가능한 한 미배정이 선택되지 않도록 한다. 구현에는 네트워크 지연 상한을 넘는 경로를 차단하는 선택적 제약이 마련되어 있으나 본 실험에서는 비활성이며, 앞서 밝힌 대로 수치상 구속되지 않는다. 문제는 이진 변수만을 가지며 PuLP 인터페이스를 통해 CBC 솔버로 푼다. 배치 크기가 모든 리전의 잔여 용량보다 작으면 용량 제약이 구속되지 않으므로, 작업별로 비용이 최소인 리전을 고르는 것이 곧 최적해가 된다. 이 경우 솔버 호출을 생략한다.</w:t>
      </w:r>
    </w:p>
    <w:p>
      <w:pPr>
        <w:rPr/>
      </w:pPr>
      <w:r>
        <w:rPr>
          <w:rtl w:val="0"/>
        </w:rPr>
      </w:r>
    </w:p>
    <w:p>
      <w:pPr>
        <w:rPr/>
      </w:pPr>
      <w:r>
        <w:rPr>
          <w:rFonts w:ascii="Arial Unicode MS" w:cs="Arial Unicode MS" w:eastAsia="Arial Unicode MS" w:hAnsi="Arial Unicode MS"/>
          <w:rtl w:val="0"/>
        </w:rPr>
        <w:t xml:space="preserve">가중치 α는 슬롯마다 파레토 무릎점으로 결정한다. 절차는 다음과 같다. 0부터 1까지 0.1 간격의 후보 11개에 대해 각각 배정 문제를 풀어, 그 배정의 평균 네트워크 지연과 예상 배출량을 계산한다. 이렇게 얻은 11개의 점을 두 축에 대해 각각 0에서 1로 정규화한다. 지연과 배출이 모두 0인 이상점에 유클리드 거리가 가장 가까운 점을 택하고, 그 점에 해당하는 α와 배정을 채택한다.</w:t>
      </w:r>
    </w:p>
    <w:p>
      <w:pPr>
        <w:jc w:val="center"/>
        <w:rPr>
          <w:i w:val="1"/>
          <w:iCs w:val="1"/>
        </w:rPr>
      </w:pPr>
      <w:r>
        <w:rPr>
          <w:rFonts w:ascii="Arial Unicode MS" w:cs="Arial Unicode MS" w:eastAsia="Arial Unicode MS" w:hAnsi="Arial Unicode MS"/>
          <w:i w:val="1"/>
          <w:iCs w:val="1"/>
          <w:rtl w:val="0"/>
        </w:rPr>
        <w:t xml:space="preserve">α* = arg min_(α)  √( λ̃(α)² + μ̃(α)² ) ,   λ̃·μ̃ 는 0–1 정규화한 평균 지연과 예상 배출          … (9)</w:t>
      </w:r>
    </w:p>
    <w:p>
      <w:pPr>
        <w:rPr/>
      </w:pPr>
      <w:r>
        <w:rPr>
          <w:rFonts w:ascii="Arial Unicode MS" w:cs="Arial Unicode MS" w:eastAsia="Arial Unicode MS" w:hAnsi="Arial Unicode MS"/>
          <w:rtl w:val="0"/>
        </w:rPr>
        <w:t xml:space="preserve">미배정이 발생하는 후보가 있으면 미배정 수가 최소인 후보들 안에서만 고르고, 거리가 같으면 작은 α를 택한다.</w:t>
      </w:r>
    </w:p>
    <w:p>
      <w:pPr>
        <w:rPr/>
      </w:pPr>
      <w:r>
        <w:rPr>
          <w:rtl w:val="0"/>
        </w:rPr>
      </w:r>
    </w:p>
    <w:p>
      <w:pPr>
        <w:jc w:val="center"/>
        <w:rPr/>
      </w:pPr>
      <w:r>
        <w:rPr>
          <w:rtl w:val="0"/>
        </w:rPr>
        <w:drawing>
          <wp:inline distT="0" distB="0" distL="0" distR="0">
            <wp:extent cx="3400000" cy="340000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CASTIMG0"/>
                    <a:stretch>
                      <a:fillRect/>
                    </a:stretch>
                  </pic:blipFill>
                  <pic:spPr>
                    <a:xfrm>
                      <a:off x="0" y="0"/>
                      <a:ext cx="3400000" cy="3400000"/>
                    </a:xfrm>
                    <a:prstGeom prst="rect">
                      <a:avLst/>
                    </a:prstGeom>
                  </pic:spPr>
                </pic:pic>
              </a:graphicData>
            </a:graphic>
          </wp:inline>
        </w:drawing>
      </w:r>
    </w:p>
    <w:p>
      <w:pPr>
        <w:jc w:val="center"/>
        <w:rPr>
          <w:sz w:val="18"/>
          <w:szCs w:val="18"/>
        </w:rPr>
      </w:pPr>
      <w:r>
        <w:rPr>
          <w:rFonts w:ascii="Arial Unicode MS" w:cs="Arial Unicode MS" w:eastAsia="Arial Unicode MS" w:hAnsi="Arial Unicode MS"/>
          <w:sz w:val="18"/>
          <w:szCs w:val="18"/>
          <w:rtl w:val="0"/>
        </w:rPr>
        <w:t xml:space="preserve">그림 4. 지연과 탄소의 파레토 곡선. 고정 가중치 후보와 무릎점 자동 선택의 위치를 함께 나타낸다.</w:t>
      </w:r>
    </w:p>
    <w:p>
      <w:pPr>
        <w:rPr/>
      </w:pPr>
      <w:r>
        <w:rPr>
          <w:rtl w:val="0"/>
        </w:rPr>
      </w:r>
    </w:p>
    <w:p>
      <w:pPr>
        <w:rPr/>
      </w:pPr>
      <w:r>
        <w:rPr>
          <w:rFonts w:ascii="Arial Unicode MS" w:cs="Arial Unicode MS" w:eastAsia="Arial Unicode MS" w:hAnsi="Arial Unicode MS"/>
          <w:rtl w:val="0"/>
        </w:rPr>
        <w:t xml:space="preserve">가중치를 고정 상수로 두지 않는 이유는 고정 상수의 실패 방향이 슬롯에 따라 반대이기 때문이다. 리전 간 탄소집약도 격차가 큰 슬롯에서 고정 가중치는 옮길 수 있는 이득을 남긴 채 보수적으로 동작한다. 격차가 작은 슬롯에서는 얻을 탄소가 적은데도 지연을 지불하며 공격적으로 동작한다. 무릎점 선택은 두 축을 정규화한 곡선의 기하만을 사용하므로, 평가자가 정한 별도의 가중치를 요구하지 않는다.</w:t>
      </w:r>
    </w:p>
    <w:p>
      <w:pPr>
        <w:rPr/>
      </w:pPr>
      <w:r>
        <w:rPr>
          <w:rtl w:val="0"/>
        </w:rPr>
      </w:r>
    </w:p>
    <w:p>
      <w:pPr>
        <w:rPr/>
      </w:pPr>
      <w:r>
        <w:rPr>
          <w:rFonts w:ascii="Arial Unicode MS" w:cs="Arial Unicode MS" w:eastAsia="Arial Unicode MS" w:hAnsi="Arial Unicode MS"/>
          <w:rtl w:val="0"/>
        </w:rPr>
        <w:t xml:space="preserve">선행 연구도 가중치를 고정한다. 다만 무엇과 무엇 사이의 가중치인지는 연구마다 다르다. CASPER는 탄소 배출과 리전별 서버 대수 사이의 가중치를 실험 전반에서 0.5로 고정하고, 지연은 목적함수 항이 아니라 별도의 상한 제약으로 처리한다. CICS는 탄소 비용과 피크 전력 인프라 비용의 가중합을 목적함수로 두고, 두 항의 상대적 비중에 따라 최적화 결과가 달라진다고 논한다. https://doi.org/10.1145/3634769.3634812 — 원문: "results would change with other α values. This is primarily due to the fact that CASPER would redirect requests differently due to the trade-off between carbon emissions and the number of servers needed to satisfy latency SLOs." https://arxiv.org/pdf/2106.11750 — 원문: "The optimization outcome changes depending on the desired tradeoffs between carbon footprint and efficiency"</w:t>
      </w:r>
    </w:p>
    <w:p>
      <w:pPr>
        <w:rPr/>
      </w:pPr>
      <w:r>
        <w:rPr>
          <w:rtl w:val="0"/>
        </w:rPr>
      </w:r>
    </w:p>
    <w:p>
      <w:pPr>
        <w:rPr/>
      </w:pPr>
      <w:r>
        <w:rPr>
          <w:rtl w:val="0"/>
        </w:rPr>
      </w:r>
    </w:p>
    <w:p>
      <w:pPr>
        <w:rPr>
          <w:b w:val="1"/>
          <w:bCs w:val="1"/>
          <w:sz w:val="28"/>
          <w:szCs w:val="28"/>
        </w:rPr>
      </w:pPr>
      <w:r>
        <w:rPr>
          <w:rFonts w:ascii="Arial Unicode MS" w:cs="Arial Unicode MS" w:eastAsia="Arial Unicode MS" w:hAnsi="Arial Unicode MS"/>
          <w:b w:val="1"/>
          <w:bCs w:val="1"/>
          <w:sz w:val="28"/>
          <w:szCs w:val="28"/>
          <w:rtl w:val="0"/>
        </w:rPr>
        <w:t xml:space="preserve">시간 이동 — 마감 내 슬롯 선택</w:t>
      </w:r>
    </w:p>
    <w:p>
      <w:pPr>
        <w:rPr/>
      </w:pPr>
      <w:r>
        <w:rPr>
          <w:rFonts w:ascii="Arial Unicode MS" w:cs="Arial Unicode MS" w:eastAsia="Arial Unicode MS" w:hAnsi="Arial Unicode MS"/>
          <w:rtl w:val="0"/>
        </w:rPr>
        <w:t xml:space="preserve">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 지연 예산이 슬롯 길이인 1시간보다 짧은 작업이 여기에 해당하며, 이들에게는 시간 이동이 적용되지 않는다.</w:t>
      </w:r>
    </w:p>
    <w:p>
      <w:pPr>
        <w:rPr/>
      </w:pPr>
      <w:r>
        <w:rPr>
          <w:rtl w:val="0"/>
        </w:rPr>
      </w:r>
    </w:p>
    <w:p>
      <w:pPr>
        <w:rPr/>
      </w:pPr>
      <w:r>
        <w:rPr>
          <w:rFonts w:ascii="Arial Unicode MS" w:cs="Arial Unicode MS" w:eastAsia="Arial Unicode MS" w:hAnsi="Arial Unicode MS"/>
          <w:rtl w:val="0"/>
        </w:rPr>
        <w:t xml:space="preserve">후보 슬롯 t의 점수는 정규화한 탄소 비용과 지연 비용의 가중합이다.</w:t>
      </w:r>
    </w:p>
    <w:p>
      <w:pPr>
        <w:jc w:val="center"/>
        <w:rPr>
          <w:i w:val="1"/>
          <w:iCs w:val="1"/>
        </w:rPr>
      </w:pPr>
      <w:r>
        <w:rPr>
          <w:rFonts w:ascii="Arial Unicode MS" w:cs="Arial Unicode MS" w:eastAsia="Arial Unicode MS" w:hAnsi="Arial Unicode MS"/>
          <w:i w:val="1"/>
          <w:iCs w:val="1"/>
          <w:rtl w:val="0"/>
        </w:rPr>
        <w:t xml:space="preserve">Ĉ(t) = ( C̄(t) − C_min ) / ( C_max − C_min ) ,    D̂(t) = ( t − t_early ) / ( t_late − t_early )          … (10)</w:t>
      </w:r>
    </w:p>
    <w:p>
      <w:pPr>
        <w:jc w:val="center"/>
        <w:rPr>
          <w:i w:val="1"/>
          <w:iCs w:val="1"/>
        </w:rPr>
      </w:pPr>
      <w:r>
        <w:rPr>
          <w:rFonts w:ascii="Arial Unicode MS" w:cs="Arial Unicode MS" w:eastAsia="Arial Unicode MS" w:hAnsi="Arial Unicode MS"/>
          <w:i w:val="1"/>
          <w:iCs w:val="1"/>
          <w:rtl w:val="0"/>
        </w:rPr>
        <w:t xml:space="preserve">score(t) = α(k) · Ĉ(t) + ( 1 − α(k) ) · D̂(t) ,    α(k) = (6 − k) / 5          … (11)</w:t>
      </w:r>
    </w:p>
    <w:p>
      <w:pPr>
        <w:rPr/>
      </w:pPr>
      <w:r>
        <w:rPr>
          <w:rFonts w:ascii="Arial Unicode MS" w:cs="Arial Unicode MS" w:eastAsia="Arial Unicode MS" w:hAnsi="Arial Unicode MS"/>
          <w:rtl w:val="0"/>
        </w:rPr>
        <w:t xml:space="preserve">C̄(t)는 t부터 실행 시간 동안의 예측 탄소집약도 평균이고, C_min과 C_max는 후보 집합 안에서의 최솟값과 최댓값이다. 가중치는 작업이 신고한 지연 등급의 함수로 정의한다. 등급 k가 작을수록, 곧 여유가 클수록 탄소 항의 비중이 커진다. 최소 등급 k=1에서 α=1.0이 되어 지연 항이 사라지고 가장 깨끗한 슬롯이 선택되며, 최고 등급 k=5에서 α=0.2가 되어 지연 항이 지배하고 사실상 즉시 실행된다.</w:t>
      </w:r>
    </w:p>
    <w:p>
      <w:pPr>
        <w:rPr/>
      </w:pPr>
      <w:r>
        <w:rPr>
          <w:rtl w:val="0"/>
        </w:rPr>
      </w:r>
    </w:p>
    <w:p>
      <w:pPr>
        <w:rPr/>
      </w:pPr>
      <w:r>
        <w:rPr>
          <w:rFonts w:ascii="Arial Unicode MS" w:cs="Arial Unicode MS" w:eastAsia="Arial Unicode MS" w:hAnsi="Arial Unicode MS"/>
          <w:rtl w:val="0"/>
        </w:rPr>
        <w:t xml:space="preserve">이 단계의 가중치를 무릎점으로 결정하지 않는 이유는 결정 단위가 다르기 때문이다. 공간 이동은 슬롯 안의 작업 집합을 한꺼번에 배정하므로 후보 가중치마다 배정 전체의 지연·배출 쌍이 정의되어 곡선을 그릴 수 있다. 시간 이동은 작업 하나의 실행 시각을 정하므로 그러한 곡선이 정의되지 않는다. 대신 작업이 제출 시 신고한 지연 등급이 그 작업의 지연 허용도를 이미 담고 있으므로, 이를 가중치로 직접 사용한다.</w:t>
      </w:r>
    </w:p>
    <w:p>
      <w:pPr>
        <w:rPr/>
      </w:pPr>
      <w:r>
        <w:rPr>
          <w:rtl w:val="0"/>
        </w:rPr>
      </w:r>
    </w:p>
    <w:p>
      <w:pPr>
        <w:rPr/>
      </w:pPr>
      <w:r>
        <w:rPr>
          <w:rFonts w:ascii="Arial Unicode MS" w:cs="Arial Unicode MS" w:eastAsia="Arial Unicode MS" w:hAnsi="Arial Unicode MS"/>
          <w:rtl w:val="0"/>
        </w:rPr>
        <w:t xml:space="preserve">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이동의 구현은 향후 과제로 남긴다.</w:t>
      </w:r>
    </w:p>
    <w:p>
      <w:pPr>
        <w:rPr/>
      </w:pPr>
      <w:r>
        <w:rPr>
          <w:rtl w:val="0"/>
        </w:rPr>
      </w:r>
    </w:p>
    <w:p>
      <w:pPr>
        <w:rPr/>
      </w:pPr>
      <w:r>
        <w:rPr>
          <w:rFonts w:ascii="Arial Unicode MS" w:cs="Arial Unicode MS" w:eastAsia="Arial Unicode MS" w:hAnsi="Arial Unicode MS"/>
          <w:rtl w:val="0"/>
        </w:rPr>
        <w:t xml:space="preserve">(이 문단은 숨기지 말고 여기 두는 게 맞음. 검증 절에서 우리가 직접 측정한 결과를 예고하는 구조)</w:t>
      </w:r>
    </w:p>
    <w:p>
      <w:pPr>
        <w:rPr/>
      </w:pPr>
      <w:r>
        <w:rPr>
          <w:rtl w:val="0"/>
        </w:rPr>
      </w:r>
    </w:p>
    <w:p>
      <w:pPr>
        <w:rPr/>
      </w:pPr>
      <w:r>
        <w:rPr>
          <w:rFonts w:ascii="Arial Unicode MS" w:cs="Arial Unicode MS" w:eastAsia="Arial Unicode MS" w:hAnsi="Arial Unicode MS"/>
          <w:rtl w:val="0"/>
        </w:rPr>
        <w:t xml:space="preserve">예측 지평을 벗어나는 경우는 즉시 실행으로 처리한다. 예측 모듈은 현재 시각으로부터 24시간까지만 값을 제공하므로, 실행 가능 윈도우의 시작이 그 지평을 넘으면 비교할 근거가 없다.</w:t>
      </w:r>
    </w:p>
    <w:p>
      <w:pPr>
        <w:rPr/>
      </w:pPr>
      <w:r>
        <w:rPr>
          <w:rtl w:val="0"/>
        </w:rPr>
      </w:r>
    </w:p>
    <w:p>
      <w:pPr>
        <w:rPr/>
      </w:pPr>
      <w:r>
        <w:rPr>
          <w:rtl w:val="0"/>
        </w:rPr>
      </w:r>
    </w:p>
    <w:p>
      <w:pPr>
        <w:rPr>
          <w:b w:val="1"/>
          <w:bCs w:val="1"/>
          <w:sz w:val="28"/>
          <w:szCs w:val="28"/>
        </w:rPr>
      </w:pPr>
      <w:r>
        <w:rPr>
          <w:rFonts w:ascii="Arial Unicode MS" w:cs="Arial Unicode MS" w:eastAsia="Arial Unicode MS" w:hAnsi="Arial Unicode MS"/>
          <w:b w:val="1"/>
          <w:bCs w:val="1"/>
          <w:sz w:val="28"/>
          <w:szCs w:val="28"/>
          <w:rtl w:val="0"/>
        </w:rPr>
        <w:t xml:space="preserve">탄소 회계</w:t>
      </w:r>
    </w:p>
    <w:p>
      <w:pPr>
        <w:rPr/>
      </w:pPr>
      <w:r>
        <w:rPr>
          <w:rFonts w:ascii="Arial Unicode MS" w:cs="Arial Unicode MS" w:eastAsia="Arial Unicode MS" w:hAnsi="Arial Unicode MS"/>
          <w:rtl w:val="0"/>
        </w:rPr>
        <w:t xml:space="preserve">배치 결정은 예측값으로 수행하고, 배출량 산정은 실측값으로 수행한다. 작업 j의 배출량은 실행 리전의 실측 탄소집약도를 실행 구간에 대해 적분한 값에 소비 전력을 곱한 값이다.</w:t>
      </w:r>
    </w:p>
    <w:p>
      <w:pPr>
        <w:jc w:val="center"/>
        <w:rPr>
          <w:i w:val="1"/>
          <w:iCs w:val="1"/>
        </w:rPr>
      </w:pPr>
      <w:r>
        <w:rPr>
          <w:rFonts w:ascii="Arial Unicode MS" w:cs="Arial Unicode MS" w:eastAsia="Arial Unicode MS" w:hAnsi="Arial Unicode MS"/>
          <w:i w:val="1"/>
          <w:iCs w:val="1"/>
          <w:rtl w:val="0"/>
        </w:rPr>
        <w:t xml:space="preserve">E_j = P · ∫_(τ_j)^(τ_j + d_j)  C_r(j)(t) dt          … (12)</w:t>
      </w:r>
    </w:p>
    <w:p>
      <w:pPr>
        <w:rPr/>
      </w:pPr>
      <w:r>
        <w:rPr>
          <w:rFonts w:ascii="Arial Unicode MS" w:cs="Arial Unicode MS" w:eastAsia="Arial Unicode MS" w:hAnsi="Arial Unicode MS"/>
          <w:rtl w:val="0"/>
        </w:rPr>
        <w:t xml:space="preserve">실측 계열은 1시간 해상도이므로 적분은 실행 구간이 걸치는 각 시간 구간의 겹침 길이에 그 시간의 값을 곱해 합산하는 방식으로 계산한다. 소비 전력은 작업당 1kW 상수로 가정한다. (근거 필요 — 1kW의 출처. 임의 상수라면 그렇게 명시하는 편이 나음) 이 가정은 작업 간 전력 프로파일의 차이를 배출량 비교에서 제거하며, 그 결과 배출량 차이는 전적으로 실행 리전과 실행 시각의 차이에서만 발생한다. 실측 전력 프로파일이 반영되면 절감량의 절대값은 달라질 수 있다. 이 점은 한계에서 다시 다룬다.</w:t>
      </w:r>
    </w:p>
    <w:p>
      <w:pPr>
        <w:rPr/>
      </w:pPr>
      <w:r>
        <w:rPr>
          <w:rtl w:val="0"/>
        </w:rPr>
      </w:r>
    </w:p>
    <w:p>
      <w:pPr>
        <w:rPr/>
      </w:pPr>
      <w:r>
        <w:rPr>
          <w:rFonts w:ascii="Arial Unicode MS" w:cs="Arial Unicode MS" w:eastAsia="Arial Unicode MS" w:hAnsi="Arial Unicode MS"/>
          <w:rtl w:val="0"/>
        </w:rPr>
        <w:t xml:space="preserve">선행 연구 가운데 두 축을 결합한 상한 분석은 미래 탄소집약도를 완전히 아는 조건을 가정한다. https://doi.org/10.1145/3627703.3650079 — 원문: "Here, we assume perfect knowledge of the future carbon-intensity and job length." 본 연구는 결정에 예측값을 사용하므로 예측 오차의 대가가 결과에 반영된다.</w:t>
      </w:r>
    </w:p>
    <w:p>
      <w:pPr>
        <w:rPr/>
      </w:pPr>
      <w:r>
        <w:rPr>
          <w:rtl w:val="0"/>
        </w:rPr>
      </w:r>
    </w:p>
    <w:p>
      <w:pPr>
        <w:rPr/>
      </w:pPr>
      <w:r>
        <w:rPr>
          <w:rtl w:val="0"/>
        </w:rPr>
      </w:r>
    </w:p>
    <w:p w:rsidR="00000000" w:rsidDel="00000000" w:rsidP="00000000" w:rsidRDefault="00000000" w:rsidRPr="00000000" w14:paraId="00000113">
      <w:pPr>
        <w:spacing w:line="276" w:lineRule="auto"/>
        <w:rPr/>
      </w:pPr>
      <w:r w:rsidDel="00000000" w:rsidR="00000000" w:rsidRPr="00000000">
        <w:rPr>
          <w:rtl w:val="0"/>
        </w:rPr>
      </w:r>
    </w:p>
    <w:p w:rsidR="00000000" w:rsidDel="00000000" w:rsidP="00000000" w:rsidRDefault="00000000" w:rsidRPr="00000000" w14:paraId="00000114">
      <w:pPr>
        <w:spacing w:line="276" w:lineRule="auto"/>
        <w:rPr/>
      </w:pPr>
      <w:r w:rsidDel="00000000" w:rsidR="00000000" w:rsidRPr="00000000">
        <w:rPr>
          <w:rtl w:val="0"/>
        </w:rPr>
      </w:r>
    </w:p>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spacing w:line="276" w:lineRule="auto"/>
        <w:rPr/>
      </w:pPr>
      <w:r w:rsidDel="00000000" w:rsidR="00000000" w:rsidRPr="00000000">
        <w:rPr>
          <w:rtl w:val="0"/>
        </w:rPr>
      </w:r>
    </w:p>
    <w:p w:rsidR="00000000" w:rsidDel="00000000" w:rsidP="00000000" w:rsidRDefault="00000000" w:rsidRPr="00000000" w14:paraId="00000117">
      <w:pPr>
        <w:spacing w:line="276" w:lineRule="auto"/>
        <w:rPr/>
      </w:pPr>
      <w:r w:rsidDel="00000000" w:rsidR="00000000" w:rsidRPr="00000000">
        <w:rPr>
          <w:rtl w:val="0"/>
        </w:rPr>
      </w:r>
    </w:p>
    <w:p w:rsidR="00000000" w:rsidDel="00000000" w:rsidP="00000000" w:rsidRDefault="00000000" w:rsidRPr="00000000" w14:paraId="00000118">
      <w:pPr>
        <w:spacing w:line="276" w:lineRule="auto"/>
        <w:rPr/>
      </w:pPr>
      <w:r w:rsidDel="00000000" w:rsidR="00000000" w:rsidRPr="00000000">
        <w:rPr>
          <w:rtl w:val="0"/>
        </w:rPr>
      </w:r>
    </w:p>
    <w:p w:rsidR="00000000" w:rsidDel="00000000" w:rsidP="00000000" w:rsidRDefault="00000000" w:rsidRPr="00000000" w14:paraId="00000119">
      <w:pPr>
        <w:spacing w:line="276" w:lineRule="auto"/>
        <w:rPr/>
      </w:pPr>
      <w:r w:rsidDel="00000000" w:rsidR="00000000" w:rsidRPr="00000000">
        <w:rPr>
          <w:rtl w:val="0"/>
        </w:rPr>
      </w:r>
    </w:p>
    <w:p w:rsidR="00000000" w:rsidDel="00000000" w:rsidP="00000000" w:rsidRDefault="00000000" w:rsidRPr="00000000" w14:paraId="0000011A">
      <w:pPr>
        <w:spacing w:line="276" w:lineRule="auto"/>
        <w:rPr/>
      </w:pPr>
      <w:r w:rsidDel="00000000" w:rsidR="00000000" w:rsidRPr="00000000">
        <w:rPr>
          <w:rtl w:val="0"/>
        </w:rPr>
      </w:r>
    </w:p>
    <w:p w:rsidR="00000000" w:rsidDel="00000000" w:rsidP="00000000" w:rsidRDefault="00000000" w:rsidRPr="00000000" w14:paraId="0000011B">
      <w:pPr>
        <w:spacing w:line="276" w:lineRule="auto"/>
        <w:rPr>
          <w:sz w:val="32"/>
          <w:szCs w:val="32"/>
        </w:rPr>
      </w:pPr>
      <w:r w:rsidDel="00000000" w:rsidR="00000000" w:rsidRPr="00000000">
        <w:rPr>
          <w:rFonts w:ascii="Arial Unicode MS" w:cs="Arial Unicode MS" w:eastAsia="Arial Unicode MS" w:hAnsi="Arial Unicode MS"/>
          <w:sz w:val="32"/>
          <w:szCs w:val="32"/>
          <w:rtl w:val="0"/>
        </w:rPr>
        <w:t xml:space="preserve">검증</w:t>
      </w:r>
    </w:p>
    <w:p>
      <w:pPr>
        <w:rPr>
          <w:b w:val="1"/>
          <w:bCs w:val="1"/>
          <w:sz w:val="28"/>
          <w:szCs w:val="28"/>
        </w:rPr>
      </w:pPr>
      <w:r>
        <w:rPr>
          <w:rFonts w:ascii="Arial Unicode MS" w:cs="Arial Unicode MS" w:eastAsia="Arial Unicode MS" w:hAnsi="Arial Unicode MS"/>
          <w:b w:val="1"/>
          <w:bCs w:val="1"/>
          <w:sz w:val="28"/>
          <w:szCs w:val="28"/>
          <w:rtl w:val="0"/>
        </w:rPr>
        <w:t xml:space="preserve">실험 설정</w:t>
      </w:r>
    </w:p>
    <w:p>
      <w:pPr>
        <w:rPr/>
      </w:pPr>
      <w:r>
        <w:rPr>
          <w:rFonts w:ascii="Arial Unicode MS" w:cs="Arial Unicode MS" w:eastAsia="Arial Unicode MS" w:hAnsi="Arial Unicode MS"/>
          <w:rtl w:val="0"/>
        </w:rPr>
        <w:t xml:space="preserve">평가는 8개 리전의 2025년 실측 탄소집약도 1년치 위에서 수행한다. 탄소집약도는 Electricity Maps API를 통해 1시간 해상도로 수집하였다. (근거 필요 — 전과정 배출계수 체계임을 밝히는 공식 방법론 URL) 대상 리전은 미국 3개(캘리포니아, 텍사스, 뉴욕), 유럽 2개(프랑스, 독일), 아시아 3개(한국, 일본, 인도)다.</w:t>
      </w:r>
    </w:p>
    <w:p>
      <w:pPr>
        <w:rPr/>
      </w:pPr>
      <w:r>
        <w:rPr>
          <w:rtl w:val="0"/>
        </w:rPr>
      </w:r>
    </w:p>
    <w:p>
      <w:pPr>
        <w:rPr/>
      </w:pPr>
      <w:r>
        <w:rPr>
          <w:rFonts w:ascii="Arial Unicode MS" w:cs="Arial Unicode MS" w:eastAsia="Arial Unicode MS" w:hAnsi="Arial Unicode MS"/>
          <w:rtl w:val="0"/>
        </w:rPr>
        <w:t xml:space="preserve">워크로드는 총 146,000건이며 리전당 하루 50건이 제출된다. (근거 필요 — 공개 클러스터 트레이스의 도착률과 대조할 것) 각 작업은 지연 등급 k ∈ {1,…,5}를 신고하고, 등급별 분포는 3 : 2 : 1 : 1 : 3이다. (근거 필요 — 이 비율의 출처. 없으면 임의 설정임을 명시할 것) 등급은 지연 예산으로 사상된다. k=1은 12~24시간, k=2는 2~8시간, k=3은 2~10분, k=4는 15~60초, k=5는 1~5초다. 각 등급 안에서는 로그균등 분포로 표본을 추출한다.</w:t>
      </w:r>
    </w:p>
    <w:p>
      <w:pPr>
        <w:rPr/>
      </w:pPr>
      <w:r>
        <w:rPr>
          <w:rtl w:val="0"/>
        </w:rPr>
      </w:r>
    </w:p>
    <w:p>
      <w:pPr>
        <w:rPr/>
      </w:pPr>
      <w:r>
        <w:rPr>
          <w:rFonts w:ascii="Arial Unicode MS" w:cs="Arial Unicode MS" w:eastAsia="Arial Unicode MS" w:hAnsi="Arial Unicode MS"/>
          <w:rtl w:val="0"/>
        </w:rPr>
        <w:t xml:space="preserve">여기서 밝혀둘 점이 있다. 슬롯 길이가 1시간이므로 지연 예산이 1시간보다 짧은 k=3, 4, 5는 시간 이동의 대상이 되지 않는다. 이들이 전체의 60.1%인 87,712건이며, 시간 이동이 적용될 수 있는 작업은 k=1과 k=2의 58,288건이다. 시간 이동에 관한 모든 비율은 이 분모를 기준으로 해석해야 한다.</w:t>
      </w:r>
    </w:p>
    <w:p>
      <w:pPr>
        <w:rPr/>
      </w:pPr>
      <w:r>
        <w:rPr>
          <w:rtl w:val="0"/>
        </w:rPr>
      </w:r>
    </w:p>
    <w:p>
      <w:pPr>
        <w:rPr/>
      </w:pPr>
      <w:r>
        <w:rPr>
          <w:rFonts w:ascii="Arial Unicode MS" w:cs="Arial Unicode MS" w:eastAsia="Arial Unicode MS" w:hAnsi="Arial Unicode MS"/>
          <w:rtl w:val="0"/>
        </w:rPr>
        <w:t xml:space="preserve">네트워크 지연은 8×8 리전 간 왕복 지연 실측 행렬을 사용하며, 최댓값은 244ms, 비대각 최솟값은 12ms다. (근거 필요 — 지연 행렬의 측정 출처와 시점)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pPr>
        <w:rPr/>
      </w:pPr>
      <w:r>
        <w:rPr>
          <w:rtl w:val="0"/>
        </w:rPr>
      </w:r>
    </w:p>
    <w:p>
      <w:pPr>
        <w:rPr/>
      </w:pPr>
      <w:r>
        <w:rPr>
          <w:rFonts w:ascii="Arial Unicode MS" w:cs="Arial Unicode MS" w:eastAsia="Arial Unicode MS" w:hAnsi="Arial Unicode MS"/>
          <w:rtl w:val="0"/>
        </w:rPr>
        <w:t xml:space="preserve">평가 규율은 다음과 같다. 배치 결정에는 예측값만 사용하고, 배출량 산정에는 실측값만 사용한다. 세 단계를 동일한 회계로 비교한다. 첫째 단계는 홈 리전 즉시 실행, 둘째 단계는 탄소 인지 공간 이동 후 즉시 실행, 셋째 단계는 여기에 시간 이동을 더한 것이다.</w:t>
      </w:r>
    </w:p>
    <w:p>
      <w:pPr>
        <w:rPr/>
      </w:pPr>
      <w:r>
        <w:rPr>
          <w:rtl w:val="0"/>
        </w:rPr>
      </w:r>
    </w:p>
    <w:p>
      <w:pPr>
        <w:jc w:val="center"/>
        <w:rPr/>
      </w:pPr>
      <w:r>
        <w:rPr>
          <w:rtl w:val="0"/>
        </w:rPr>
        <w:drawing>
          <wp:inline distT="0" distB="0" distL="0" distR="0">
            <wp:extent cx="5200000" cy="2311111"/>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CASTIMG1"/>
                    <a:stretch>
                      <a:fillRect/>
                    </a:stretch>
                  </pic:blipFill>
                  <pic:spPr>
                    <a:xfrm>
                      <a:off x="0" y="0"/>
                      <a:ext cx="5200000" cy="2311111"/>
                    </a:xfrm>
                    <a:prstGeom prst="rect">
                      <a:avLst/>
                    </a:prstGeom>
                  </pic:spPr>
                </pic:pic>
              </a:graphicData>
            </a:graphic>
          </wp:inline>
        </w:drawing>
      </w:r>
    </w:p>
    <w:p>
      <w:pPr>
        <w:jc w:val="center"/>
        <w:rPr>
          <w:sz w:val="18"/>
          <w:szCs w:val="18"/>
        </w:rPr>
      </w:pPr>
      <w:r>
        <w:rPr>
          <w:rFonts w:ascii="Arial Unicode MS" w:cs="Arial Unicode MS" w:eastAsia="Arial Unicode MS" w:hAnsi="Arial Unicode MS"/>
          <w:sz w:val="18"/>
          <w:szCs w:val="18"/>
          <w:rtl w:val="0"/>
        </w:rPr>
        <w:t xml:space="preserve">그림 5. 공간 이동 후 리전별 부하 분포. 탄소집약도가 낮은 리전으로 부하가 이동한다.</w:t>
      </w:r>
    </w:p>
    <w:p>
      <w:pPr>
        <w:rPr/>
      </w:pPr>
      <w:r>
        <w:rPr>
          <w:rtl w:val="0"/>
        </w:rPr>
      </w:r>
    </w:p>
    <w:p>
      <w:pPr>
        <w:rPr/>
      </w:pPr>
      <w:r>
        <w:rPr>
          <w:rtl w:val="0"/>
        </w:rPr>
      </w:r>
    </w:p>
    <w:p w:rsidR="00000000" w:rsidRDefault="00000000">
      <w:pPr>
        <w:rPr>
          <w:b w:val="1"/>
          <w:bCs w:val="1"/>
          <w:sz w:val="28"/>
          <w:szCs w:val="28"/>
        </w:rPr>
      </w:pPr>
      <w:r>
        <w:rPr>
          <w:rFonts w:ascii="Arial Unicode MS" w:cs="Arial Unicode MS" w:eastAsia="Arial Unicode MS" w:hAnsi="Arial Unicode MS"/>
          <w:b w:val="1"/>
          <w:bCs w:val="1"/>
          <w:sz w:val="28"/>
          <w:szCs w:val="28"/>
          <w:rtl w:val="0"/>
        </w:rPr>
        <w:t xml:space="preserve">용량을 고려하지 않은 시간 이동의 결과</w:t>
      </w:r>
    </w:p>
    <w:p w:rsidR="00000000" w:rsidRDefault="00000000">
      <w:pPr>
        <w:rPr/>
      </w:pPr>
      <w:r>
        <w:rPr>
          <w:rFonts w:ascii="Arial Unicode MS" w:cs="Arial Unicode MS" w:eastAsia="Arial Unicode MS" w:hAnsi="Arial Unicode MS"/>
          <w:rtl w:val="0"/>
        </w:rPr>
        <w:t xml:space="preserve">시간 이동 단계는 리전 용량을 고려하지 않는다. 이 설계 결정이 낳는 결과를 측정하였다.</w:t>
      </w:r>
    </w:p>
    <w:p w:rsidR="00000000" w:rsidRDefault="00000000">
      <w:pPr>
        <w:rPr/>
      </w:pPr>
      <w:r>
        <w:rPr>
          <w:rtl w:val="0"/>
        </w:rPr>
      </w:r>
    </w:p>
    <w:p w:rsidR="00000000" w:rsidRDefault="00000000">
      <w:pPr>
        <w:rPr/>
      </w:pPr>
      <w:r>
        <w:rPr>
          <w:rFonts w:ascii="Arial Unicode MS" w:cs="Arial Unicode MS" w:eastAsia="Arial Unicode MS" w:hAnsi="Arial Unicode MS"/>
          <w:rtl w:val="0"/>
        </w:rPr>
        <w:t xml:space="preserve">리전 r의 시각 t에서 동시 실행 중인 작업 수 N(r, t)를 모든 작업의 시작 시각과 종료 시각에서의 누적합으로 산출하였다. 이는 로드밸런서가 리전 용량을 산정할 때 사용하는 정의와 동일하다. 작업의 지속시간이 1초에서 수 시간까지 분포하므로 슬롯 단위 표본으로는 참값을 얻을 수 없다.</w:t>
      </w:r>
    </w:p>
    <w:p w:rsidR="00000000" w:rsidRDefault="00000000">
      <w:pPr>
        <w:rPr/>
      </w:pPr>
      <w:r>
        <w:rPr>
          <w:rtl w:val="0"/>
        </w:rPr>
      </w:r>
    </w:p>
    <w:p w:rsidR="00000000" w:rsidRDefault="00000000">
      <w:pPr>
        <w:rPr/>
      </w:pPr>
      <w:r>
        <w:rPr>
          <w:rFonts w:ascii="Arial Unicode MS" w:cs="Arial Unicode MS" w:eastAsia="Arial Unicode MS" w:hAnsi="Arial Unicode MS"/>
          <w:rtl w:val="0"/>
        </w:rPr>
        <w:t xml:space="preserve">공간 이동만 적용한 단계에서는 8개 리전 전부가 여유율 상한인 동시 실행 12건 이하를 유지한다. 이는 워크로드에 따른 우연이 아니라 구조적 결과다. 로드밸런서는 슬롯 시작 시점에 아직 종료하지 않은 작업 수와 해당 슬롯에 새로 배정하는 작업 수의 합을 상한 이하로 제약하며, 실행 중 작업의 반환이 실제 종료 시각보다 이르지 않으므로 슬롯 내 임의 시각의 동시 실행 수가 상한을 넘을 수 없다.</w:t>
      </w:r>
    </w:p>
    <w:p w:rsidR="00000000" w:rsidRDefault="00000000">
      <w:pPr>
        <w:rPr/>
      </w:pPr>
      <w:r>
        <w:rPr>
          <w:rtl w:val="0"/>
        </w:rPr>
      </w:r>
    </w:p>
    <w:p w:rsidR="00000000" w:rsidRDefault="00000000">
      <w:pPr>
        <w:rPr/>
      </w:pPr>
      <w:r>
        <w:rPr>
          <w:rFonts w:ascii="Arial Unicode MS" w:cs="Arial Unicode MS" w:eastAsia="Arial Unicode MS" w:hAnsi="Arial Unicode MS"/>
          <w:rtl w:val="0"/>
        </w:rPr>
        <w:t xml:space="preserve">시간 이동을 적용하면 프랑스와 캘리포니아에서 동시 실행 수가 41건에 이르러 상한의 3.4배가 되며, 연중 각각 622시간과 867시간 동안 상한을 초과한다. 나머지 리전의 초과는 미미하고 인도에서는 발생하지 않는다.</w:t>
      </w:r>
    </w:p>
    <w:p w:rsidR="00000000" w:rsidRDefault="00000000">
      <w:pPr>
        <w:rPr/>
      </w:pPr>
      <w:r>
        <w:rPr>
          <w:rtl w:val="0"/>
        </w:rPr>
      </w:r>
    </w:p>
    <w:p w:rsidR="00000000" w:rsidRDefault="00000000">
      <w:pPr>
        <w:rPr/>
      </w:pPr>
      <w:r>
        <w:rPr>
          <w:rFonts w:ascii="Arial Unicode MS" w:cs="Arial Unicode MS" w:eastAsia="Arial Unicode MS" w:hAnsi="Arial Unicode MS"/>
          <w:rtl w:val="0"/>
        </w:rPr>
        <w:t xml:space="preserve">표 1. 리전별 동시 실행 최대치와 상한 초과 시간 (유효 상한 12건, 연간 8,760시간 기준)</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0"/>
        <w:gridCol w:w="2000"/>
        <w:gridCol w:w="2000"/>
        <w:gridCol w:w="1800"/>
      </w:tblGrid>
      <w:tr>
        <w:tc>
          <w:tcPr>
            <w:tcW w:w="2400" w:type="dxa"/>
            <w:vAlign w:val="center"/>
          </w:tcPr>
          <w:p>
            <w:pPr>
              <w:jc w:val="center"/>
              <w:rPr>
                <w:b w:val="1"/>
                <w:bCs w:val="1"/>
              </w:rPr>
            </w:pPr>
            <w:r>
              <w:rPr>
                <w:rFonts w:ascii="Arial Unicode MS" w:cs="Arial Unicode MS" w:eastAsia="Arial Unicode MS" w:hAnsi="Arial Unicode MS"/>
                <w:b w:val="1"/>
                <w:bCs w:val="1"/>
                <w:sz w:val="18"/>
                <w:szCs w:val="18"/>
                <w:rtl w:val="0"/>
              </w:rPr>
              <w:t xml:space="preserve">리전</w:t>
            </w:r>
          </w:p>
        </w:tc>
        <w:tc>
          <w:tcPr>
            <w:tcW w:w="2000" w:type="dxa"/>
            <w:vAlign w:val="center"/>
          </w:tcPr>
          <w:p>
            <w:pPr>
              <w:jc w:val="center"/>
              <w:rPr>
                <w:b w:val="1"/>
                <w:bCs w:val="1"/>
              </w:rPr>
            </w:pPr>
            <w:r>
              <w:rPr>
                <w:rFonts w:ascii="Arial Unicode MS" w:cs="Arial Unicode MS" w:eastAsia="Arial Unicode MS" w:hAnsi="Arial Unicode MS"/>
                <w:b w:val="1"/>
                <w:bCs w:val="1"/>
                <w:sz w:val="18"/>
                <w:szCs w:val="18"/>
                <w:rtl w:val="0"/>
              </w:rPr>
              <w:t xml:space="preserve">공간 이동 후</w:t>
            </w:r>
          </w:p>
        </w:tc>
        <w:tc>
          <w:tcPr>
            <w:tcW w:w="2000" w:type="dxa"/>
            <w:vAlign w:val="center"/>
          </w:tcPr>
          <w:p>
            <w:pPr>
              <w:jc w:val="center"/>
              <w:rPr>
                <w:b w:val="1"/>
                <w:bCs w:val="1"/>
              </w:rPr>
            </w:pPr>
            <w:r>
              <w:rPr>
                <w:rFonts w:ascii="Arial Unicode MS" w:cs="Arial Unicode MS" w:eastAsia="Arial Unicode MS" w:hAnsi="Arial Unicode MS"/>
                <w:b w:val="1"/>
                <w:bCs w:val="1"/>
                <w:sz w:val="18"/>
                <w:szCs w:val="18"/>
                <w:rtl w:val="0"/>
              </w:rPr>
              <w:t xml:space="preserve">시간 이동 후</w:t>
            </w:r>
          </w:p>
        </w:tc>
        <w:tc>
          <w:tcPr>
            <w:tcW w:w="1800" w:type="dxa"/>
            <w:vAlign w:val="center"/>
          </w:tcPr>
          <w:p>
            <w:pPr>
              <w:jc w:val="center"/>
              <w:rPr>
                <w:b w:val="1"/>
                <w:bCs w:val="1"/>
              </w:rPr>
            </w:pPr>
            <w:r>
              <w:rPr>
                <w:rFonts w:ascii="Arial Unicode MS" w:cs="Arial Unicode MS" w:eastAsia="Arial Unicode MS" w:hAnsi="Arial Unicode MS"/>
                <w:b w:val="1"/>
                <w:bCs w:val="1"/>
                <w:sz w:val="18"/>
                <w:szCs w:val="18"/>
                <w:rtl w:val="0"/>
              </w:rPr>
              <w:t xml:space="preserve">초과 시간</w:t>
            </w:r>
          </w:p>
        </w:tc>
      </w:tr>
      <w:tr>
        <w:tc>
          <w:tcPr>
            <w:tcW w:w="2400" w:type="dxa"/>
            <w:vAlign w:val="center"/>
          </w:tcPr>
          <w:p>
            <w:pPr>
              <w:rPr/>
            </w:pPr>
            <w:r>
              <w:rPr>
                <w:rFonts w:ascii="Arial Unicode MS" w:cs="Arial Unicode MS" w:eastAsia="Arial Unicode MS" w:hAnsi="Arial Unicode MS"/>
                <w:sz w:val="18"/>
                <w:szCs w:val="18"/>
                <w:rtl w:val="0"/>
              </w:rPr>
              <w:t xml:space="preserve">US-CAL-CISO</w:t>
            </w:r>
          </w:p>
        </w:tc>
        <w:tc>
          <w:tcPr>
            <w:tcW w:w="2000" w:type="dxa"/>
            <w:vAlign w:val="center"/>
          </w:tcPr>
          <w:p>
            <w:pPr>
              <w:jc w:val="center"/>
              <w:rPr/>
            </w:pPr>
            <w:r>
              <w:rPr>
                <w:rFonts w:ascii="Arial Unicode MS" w:cs="Arial Unicode MS" w:eastAsia="Arial Unicode MS" w:hAnsi="Arial Unicode MS"/>
                <w:sz w:val="18"/>
                <w:szCs w:val="18"/>
                <w:rtl w:val="0"/>
              </w:rPr>
              <w:t xml:space="preserve">12</w:t>
            </w:r>
          </w:p>
        </w:tc>
        <w:tc>
          <w:tcPr>
            <w:tcW w:w="2000" w:type="dxa"/>
            <w:vAlign w:val="center"/>
          </w:tcPr>
          <w:p>
            <w:pPr>
              <w:jc w:val="center"/>
              <w:rPr/>
            </w:pPr>
            <w:r>
              <w:rPr>
                <w:rFonts w:ascii="Arial Unicode MS" w:cs="Arial Unicode MS" w:eastAsia="Arial Unicode MS" w:hAnsi="Arial Unicode MS"/>
                <w:sz w:val="18"/>
                <w:szCs w:val="18"/>
                <w:rtl w:val="0"/>
              </w:rPr>
              <w:t xml:space="preserve">41</w:t>
            </w:r>
          </w:p>
        </w:tc>
        <w:tc>
          <w:tcPr>
            <w:tcW w:w="1800" w:type="dxa"/>
            <w:vAlign w:val="center"/>
          </w:tcPr>
          <w:p>
            <w:pPr>
              <w:jc w:val="center"/>
              <w:rPr/>
            </w:pPr>
            <w:r>
              <w:rPr>
                <w:rFonts w:ascii="Arial Unicode MS" w:cs="Arial Unicode MS" w:eastAsia="Arial Unicode MS" w:hAnsi="Arial Unicode MS"/>
                <w:sz w:val="18"/>
                <w:szCs w:val="18"/>
                <w:rtl w:val="0"/>
              </w:rPr>
              <w:t xml:space="preserve">866.9 h</w:t>
            </w:r>
          </w:p>
        </w:tc>
      </w:tr>
      <w:tr>
        <w:tc>
          <w:tcPr>
            <w:tcW w:w="2400" w:type="dxa"/>
            <w:vAlign w:val="center"/>
          </w:tcPr>
          <w:p>
            <w:pPr>
              <w:rPr/>
            </w:pPr>
            <w:r>
              <w:rPr>
                <w:rFonts w:ascii="Arial Unicode MS" w:cs="Arial Unicode MS" w:eastAsia="Arial Unicode MS" w:hAnsi="Arial Unicode MS"/>
                <w:sz w:val="18"/>
                <w:szCs w:val="18"/>
                <w:rtl w:val="0"/>
              </w:rPr>
              <w:t xml:space="preserve">FR</w:t>
            </w:r>
          </w:p>
        </w:tc>
        <w:tc>
          <w:tcPr>
            <w:tcW w:w="2000" w:type="dxa"/>
            <w:vAlign w:val="center"/>
          </w:tcPr>
          <w:p>
            <w:pPr>
              <w:jc w:val="center"/>
              <w:rPr/>
            </w:pPr>
            <w:r>
              <w:rPr>
                <w:rFonts w:ascii="Arial Unicode MS" w:cs="Arial Unicode MS" w:eastAsia="Arial Unicode MS" w:hAnsi="Arial Unicode MS"/>
                <w:sz w:val="18"/>
                <w:szCs w:val="18"/>
                <w:rtl w:val="0"/>
              </w:rPr>
              <w:t xml:space="preserve">12</w:t>
            </w:r>
          </w:p>
        </w:tc>
        <w:tc>
          <w:tcPr>
            <w:tcW w:w="2000" w:type="dxa"/>
            <w:vAlign w:val="center"/>
          </w:tcPr>
          <w:p>
            <w:pPr>
              <w:jc w:val="center"/>
              <w:rPr/>
            </w:pPr>
            <w:r>
              <w:rPr>
                <w:rFonts w:ascii="Arial Unicode MS" w:cs="Arial Unicode MS" w:eastAsia="Arial Unicode MS" w:hAnsi="Arial Unicode MS"/>
                <w:sz w:val="18"/>
                <w:szCs w:val="18"/>
                <w:rtl w:val="0"/>
              </w:rPr>
              <w:t xml:space="preserve">41</w:t>
            </w:r>
          </w:p>
        </w:tc>
        <w:tc>
          <w:tcPr>
            <w:tcW w:w="1800" w:type="dxa"/>
            <w:vAlign w:val="center"/>
          </w:tcPr>
          <w:p>
            <w:pPr>
              <w:jc w:val="center"/>
              <w:rPr/>
            </w:pPr>
            <w:r>
              <w:rPr>
                <w:rFonts w:ascii="Arial Unicode MS" w:cs="Arial Unicode MS" w:eastAsia="Arial Unicode MS" w:hAnsi="Arial Unicode MS"/>
                <w:sz w:val="18"/>
                <w:szCs w:val="18"/>
                <w:rtl w:val="0"/>
              </w:rPr>
              <w:t xml:space="preserve">622.4 h</w:t>
            </w:r>
          </w:p>
        </w:tc>
      </w:tr>
      <w:tr>
        <w:tc>
          <w:tcPr>
            <w:tcW w:w="2400" w:type="dxa"/>
            <w:vAlign w:val="center"/>
          </w:tcPr>
          <w:p>
            <w:pPr>
              <w:rPr/>
            </w:pPr>
            <w:r>
              <w:rPr>
                <w:rFonts w:ascii="Arial Unicode MS" w:cs="Arial Unicode MS" w:eastAsia="Arial Unicode MS" w:hAnsi="Arial Unicode MS"/>
                <w:sz w:val="18"/>
                <w:szCs w:val="18"/>
                <w:rtl w:val="0"/>
              </w:rPr>
              <w:t xml:space="preserve">US-NY-NYIS</w:t>
            </w:r>
          </w:p>
        </w:tc>
        <w:tc>
          <w:tcPr>
            <w:tcW w:w="2000" w:type="dxa"/>
            <w:vAlign w:val="center"/>
          </w:tcPr>
          <w:p>
            <w:pPr>
              <w:jc w:val="center"/>
              <w:rPr/>
            </w:pPr>
            <w:r>
              <w:rPr>
                <w:rFonts w:ascii="Arial Unicode MS" w:cs="Arial Unicode MS" w:eastAsia="Arial Unicode MS" w:hAnsi="Arial Unicode MS"/>
                <w:sz w:val="18"/>
                <w:szCs w:val="18"/>
                <w:rtl w:val="0"/>
              </w:rPr>
              <w:t xml:space="preserve">11</w:t>
            </w:r>
          </w:p>
        </w:tc>
        <w:tc>
          <w:tcPr>
            <w:tcW w:w="2000" w:type="dxa"/>
            <w:vAlign w:val="center"/>
          </w:tcPr>
          <w:p>
            <w:pPr>
              <w:jc w:val="center"/>
              <w:rPr/>
            </w:pPr>
            <w:r>
              <w:rPr>
                <w:rFonts w:ascii="Arial Unicode MS" w:cs="Arial Unicode MS" w:eastAsia="Arial Unicode MS" w:hAnsi="Arial Unicode MS"/>
                <w:sz w:val="18"/>
                <w:szCs w:val="18"/>
                <w:rtl w:val="0"/>
              </w:rPr>
              <w:t xml:space="preserve">20</w:t>
            </w:r>
          </w:p>
        </w:tc>
        <w:tc>
          <w:tcPr>
            <w:tcW w:w="1800" w:type="dxa"/>
            <w:vAlign w:val="center"/>
          </w:tcPr>
          <w:p>
            <w:pPr>
              <w:jc w:val="center"/>
              <w:rPr/>
            </w:pPr>
            <w:r>
              <w:rPr>
                <w:rFonts w:ascii="Arial Unicode MS" w:cs="Arial Unicode MS" w:eastAsia="Arial Unicode MS" w:hAnsi="Arial Unicode MS"/>
                <w:sz w:val="18"/>
                <w:szCs w:val="18"/>
                <w:rtl w:val="0"/>
              </w:rPr>
              <w:t xml:space="preserve">31 h</w:t>
            </w:r>
          </w:p>
        </w:tc>
      </w:tr>
      <w:tr>
        <w:tc>
          <w:tcPr>
            <w:tcW w:w="2400" w:type="dxa"/>
            <w:vAlign w:val="center"/>
          </w:tcPr>
          <w:p>
            <w:pPr>
              <w:rPr/>
            </w:pPr>
            <w:r>
              <w:rPr>
                <w:rFonts w:ascii="Arial Unicode MS" w:cs="Arial Unicode MS" w:eastAsia="Arial Unicode MS" w:hAnsi="Arial Unicode MS"/>
                <w:sz w:val="18"/>
                <w:szCs w:val="18"/>
                <w:rtl w:val="0"/>
              </w:rPr>
              <w:t xml:space="preserve">KR</w:t>
            </w:r>
          </w:p>
        </w:tc>
        <w:tc>
          <w:tcPr>
            <w:tcW w:w="2000" w:type="dxa"/>
            <w:vAlign w:val="center"/>
          </w:tcPr>
          <w:p>
            <w:pPr>
              <w:jc w:val="center"/>
              <w:rPr/>
            </w:pPr>
            <w:r>
              <w:rPr>
                <w:rFonts w:ascii="Arial Unicode MS" w:cs="Arial Unicode MS" w:eastAsia="Arial Unicode MS" w:hAnsi="Arial Unicode MS"/>
                <w:sz w:val="18"/>
                <w:szCs w:val="18"/>
                <w:rtl w:val="0"/>
              </w:rPr>
              <w:t xml:space="preserve">10</w:t>
            </w:r>
          </w:p>
        </w:tc>
        <w:tc>
          <w:tcPr>
            <w:tcW w:w="2000" w:type="dxa"/>
            <w:vAlign w:val="center"/>
          </w:tcPr>
          <w:p>
            <w:pPr>
              <w:jc w:val="center"/>
              <w:rPr/>
            </w:pPr>
            <w:r>
              <w:rPr>
                <w:rFonts w:ascii="Arial Unicode MS" w:cs="Arial Unicode MS" w:eastAsia="Arial Unicode MS" w:hAnsi="Arial Unicode MS"/>
                <w:sz w:val="18"/>
                <w:szCs w:val="18"/>
                <w:rtl w:val="0"/>
              </w:rPr>
              <w:t xml:space="preserve">19</w:t>
            </w:r>
          </w:p>
        </w:tc>
        <w:tc>
          <w:tcPr>
            <w:tcW w:w="1800" w:type="dxa"/>
            <w:vAlign w:val="center"/>
          </w:tcPr>
          <w:p>
            <w:pPr>
              <w:jc w:val="center"/>
              <w:rPr/>
            </w:pPr>
            <w:r>
              <w:rPr>
                <w:rFonts w:ascii="Arial Unicode MS" w:cs="Arial Unicode MS" w:eastAsia="Arial Unicode MS" w:hAnsi="Arial Unicode MS"/>
                <w:sz w:val="18"/>
                <w:szCs w:val="18"/>
                <w:rtl w:val="0"/>
              </w:rPr>
              <w:t xml:space="preserve">12 h</w:t>
            </w:r>
          </w:p>
        </w:tc>
      </w:tr>
      <w:tr>
        <w:tc>
          <w:tcPr>
            <w:tcW w:w="2400" w:type="dxa"/>
            <w:vAlign w:val="center"/>
          </w:tcPr>
          <w:p>
            <w:pPr>
              <w:rPr/>
            </w:pPr>
            <w:r>
              <w:rPr>
                <w:rFonts w:ascii="Arial Unicode MS" w:cs="Arial Unicode MS" w:eastAsia="Arial Unicode MS" w:hAnsi="Arial Unicode MS"/>
                <w:sz w:val="18"/>
                <w:szCs w:val="18"/>
                <w:rtl w:val="0"/>
              </w:rPr>
              <w:t xml:space="preserve">DE</w:t>
            </w:r>
          </w:p>
        </w:tc>
        <w:tc>
          <w:tcPr>
            <w:tcW w:w="2000" w:type="dxa"/>
            <w:vAlign w:val="center"/>
          </w:tcPr>
          <w:p>
            <w:pPr>
              <w:jc w:val="center"/>
              <w:rPr/>
            </w:pPr>
            <w:r>
              <w:rPr>
                <w:rFonts w:ascii="Arial Unicode MS" w:cs="Arial Unicode MS" w:eastAsia="Arial Unicode MS" w:hAnsi="Arial Unicode MS"/>
                <w:sz w:val="18"/>
                <w:szCs w:val="18"/>
                <w:rtl w:val="0"/>
              </w:rPr>
              <w:t xml:space="preserve">9</w:t>
            </w:r>
          </w:p>
        </w:tc>
        <w:tc>
          <w:tcPr>
            <w:tcW w:w="2000" w:type="dxa"/>
            <w:vAlign w:val="center"/>
          </w:tcPr>
          <w:p>
            <w:pPr>
              <w:jc w:val="center"/>
              <w:rPr/>
            </w:pPr>
            <w:r>
              <w:rPr>
                <w:rFonts w:ascii="Arial Unicode MS" w:cs="Arial Unicode MS" w:eastAsia="Arial Unicode MS" w:hAnsi="Arial Unicode MS"/>
                <w:sz w:val="18"/>
                <w:szCs w:val="18"/>
                <w:rtl w:val="0"/>
              </w:rPr>
              <w:t xml:space="preserve">20</w:t>
            </w:r>
          </w:p>
        </w:tc>
        <w:tc>
          <w:tcPr>
            <w:tcW w:w="1800" w:type="dxa"/>
            <w:vAlign w:val="center"/>
          </w:tcPr>
          <w:p>
            <w:pPr>
              <w:jc w:val="center"/>
              <w:rPr/>
            </w:pPr>
            <w:r>
              <w:rPr>
                <w:rFonts w:ascii="Arial Unicode MS" w:cs="Arial Unicode MS" w:eastAsia="Arial Unicode MS" w:hAnsi="Arial Unicode MS"/>
                <w:sz w:val="18"/>
                <w:szCs w:val="18"/>
                <w:rtl w:val="0"/>
              </w:rPr>
              <w:t xml:space="preserve">4 h</w:t>
            </w:r>
          </w:p>
        </w:tc>
      </w:tr>
      <w:tr>
        <w:tc>
          <w:tcPr>
            <w:tcW w:w="2400" w:type="dxa"/>
            <w:vAlign w:val="center"/>
          </w:tcPr>
          <w:p>
            <w:pPr>
              <w:rPr/>
            </w:pPr>
            <w:r>
              <w:rPr>
                <w:rFonts w:ascii="Arial Unicode MS" w:cs="Arial Unicode MS" w:eastAsia="Arial Unicode MS" w:hAnsi="Arial Unicode MS"/>
                <w:sz w:val="18"/>
                <w:szCs w:val="18"/>
                <w:rtl w:val="0"/>
              </w:rPr>
              <w:t xml:space="preserve">US-TEX-ERCO</w:t>
            </w:r>
          </w:p>
        </w:tc>
        <w:tc>
          <w:tcPr>
            <w:tcW w:w="2000" w:type="dxa"/>
            <w:vAlign w:val="center"/>
          </w:tcPr>
          <w:p>
            <w:pPr>
              <w:jc w:val="center"/>
              <w:rPr/>
            </w:pPr>
            <w:r>
              <w:rPr>
                <w:rFonts w:ascii="Arial Unicode MS" w:cs="Arial Unicode MS" w:eastAsia="Arial Unicode MS" w:hAnsi="Arial Unicode MS"/>
                <w:sz w:val="18"/>
                <w:szCs w:val="18"/>
                <w:rtl w:val="0"/>
              </w:rPr>
              <w:t xml:space="preserve">11</w:t>
            </w:r>
          </w:p>
        </w:tc>
        <w:tc>
          <w:tcPr>
            <w:tcW w:w="2000" w:type="dxa"/>
            <w:vAlign w:val="center"/>
          </w:tcPr>
          <w:p>
            <w:pPr>
              <w:jc w:val="center"/>
              <w:rPr/>
            </w:pPr>
            <w:r>
              <w:rPr>
                <w:rFonts w:ascii="Arial Unicode MS" w:cs="Arial Unicode MS" w:eastAsia="Arial Unicode MS" w:hAnsi="Arial Unicode MS"/>
                <w:sz w:val="18"/>
                <w:szCs w:val="18"/>
                <w:rtl w:val="0"/>
              </w:rPr>
              <w:t xml:space="preserve">18</w:t>
            </w:r>
          </w:p>
        </w:tc>
        <w:tc>
          <w:tcPr>
            <w:tcW w:w="1800" w:type="dxa"/>
            <w:vAlign w:val="center"/>
          </w:tcPr>
          <w:p>
            <w:pPr>
              <w:jc w:val="center"/>
              <w:rPr/>
            </w:pPr>
            <w:r>
              <w:rPr>
                <w:rFonts w:ascii="Arial Unicode MS" w:cs="Arial Unicode MS" w:eastAsia="Arial Unicode MS" w:hAnsi="Arial Unicode MS"/>
                <w:sz w:val="18"/>
                <w:szCs w:val="18"/>
                <w:rtl w:val="0"/>
              </w:rPr>
              <w:t xml:space="preserve">4 h</w:t>
            </w:r>
          </w:p>
        </w:tc>
      </w:tr>
      <w:tr>
        <w:tc>
          <w:tcPr>
            <w:tcW w:w="2400" w:type="dxa"/>
            <w:vAlign w:val="center"/>
          </w:tcPr>
          <w:p>
            <w:pPr>
              <w:rPr/>
            </w:pPr>
            <w:r>
              <w:rPr>
                <w:rFonts w:ascii="Arial Unicode MS" w:cs="Arial Unicode MS" w:eastAsia="Arial Unicode MS" w:hAnsi="Arial Unicode MS"/>
                <w:sz w:val="18"/>
                <w:szCs w:val="18"/>
                <w:rtl w:val="0"/>
              </w:rPr>
              <w:t xml:space="preserve">JP</w:t>
            </w:r>
          </w:p>
        </w:tc>
        <w:tc>
          <w:tcPr>
            <w:tcW w:w="2000" w:type="dxa"/>
            <w:vAlign w:val="center"/>
          </w:tcPr>
          <w:p>
            <w:pPr>
              <w:jc w:val="center"/>
              <w:rPr/>
            </w:pPr>
            <w:r>
              <w:rPr>
                <w:rFonts w:ascii="Arial Unicode MS" w:cs="Arial Unicode MS" w:eastAsia="Arial Unicode MS" w:hAnsi="Arial Unicode MS"/>
                <w:sz w:val="18"/>
                <w:szCs w:val="18"/>
                <w:rtl w:val="0"/>
              </w:rPr>
              <w:t xml:space="preserve">8</w:t>
            </w:r>
          </w:p>
        </w:tc>
        <w:tc>
          <w:tcPr>
            <w:tcW w:w="2000" w:type="dxa"/>
            <w:vAlign w:val="center"/>
          </w:tcPr>
          <w:p>
            <w:pPr>
              <w:jc w:val="center"/>
              <w:rPr/>
            </w:pPr>
            <w:r>
              <w:rPr>
                <w:rFonts w:ascii="Arial Unicode MS" w:cs="Arial Unicode MS" w:eastAsia="Arial Unicode MS" w:hAnsi="Arial Unicode MS"/>
                <w:sz w:val="18"/>
                <w:szCs w:val="18"/>
                <w:rtl w:val="0"/>
              </w:rPr>
              <w:t xml:space="preserve">15</w:t>
            </w:r>
          </w:p>
        </w:tc>
        <w:tc>
          <w:tcPr>
            <w:tcW w:w="1800" w:type="dxa"/>
            <w:vAlign w:val="center"/>
          </w:tcPr>
          <w:p>
            <w:pPr>
              <w:jc w:val="center"/>
              <w:rPr/>
            </w:pPr>
            <w:r>
              <w:rPr>
                <w:rFonts w:ascii="Arial Unicode MS" w:cs="Arial Unicode MS" w:eastAsia="Arial Unicode MS" w:hAnsi="Arial Unicode MS"/>
                <w:sz w:val="18"/>
                <w:szCs w:val="18"/>
                <w:rtl w:val="0"/>
              </w:rPr>
              <w:t xml:space="preserve">2 h</w:t>
            </w:r>
          </w:p>
        </w:tc>
      </w:tr>
      <w:tr>
        <w:tc>
          <w:tcPr>
            <w:tcW w:w="2400" w:type="dxa"/>
            <w:vAlign w:val="center"/>
          </w:tcPr>
          <w:p>
            <w:pPr>
              <w:rPr/>
            </w:pPr>
            <w:r>
              <w:rPr>
                <w:rFonts w:ascii="Arial Unicode MS" w:cs="Arial Unicode MS" w:eastAsia="Arial Unicode MS" w:hAnsi="Arial Unicode MS"/>
                <w:sz w:val="18"/>
                <w:szCs w:val="18"/>
                <w:rtl w:val="0"/>
              </w:rPr>
              <w:t xml:space="preserve">IN</w:t>
            </w:r>
          </w:p>
        </w:tc>
        <w:tc>
          <w:tcPr>
            <w:tcW w:w="2000" w:type="dxa"/>
            <w:vAlign w:val="center"/>
          </w:tcPr>
          <w:p>
            <w:pPr>
              <w:jc w:val="center"/>
              <w:rPr/>
            </w:pPr>
            <w:r>
              <w:rPr>
                <w:rFonts w:ascii="Arial Unicode MS" w:cs="Arial Unicode MS" w:eastAsia="Arial Unicode MS" w:hAnsi="Arial Unicode MS"/>
                <w:sz w:val="18"/>
                <w:szCs w:val="18"/>
                <w:rtl w:val="0"/>
              </w:rPr>
              <w:t xml:space="preserve">6</w:t>
            </w:r>
          </w:p>
        </w:tc>
        <w:tc>
          <w:tcPr>
            <w:tcW w:w="2000" w:type="dxa"/>
            <w:vAlign w:val="center"/>
          </w:tcPr>
          <w:p>
            <w:pPr>
              <w:jc w:val="center"/>
              <w:rPr/>
            </w:pPr>
            <w:r>
              <w:rPr>
                <w:rFonts w:ascii="Arial Unicode MS" w:cs="Arial Unicode MS" w:eastAsia="Arial Unicode MS" w:hAnsi="Arial Unicode MS"/>
                <w:sz w:val="18"/>
                <w:szCs w:val="18"/>
                <w:rtl w:val="0"/>
              </w:rPr>
              <w:t xml:space="preserve">6</w:t>
            </w:r>
          </w:p>
        </w:tc>
        <w:tc>
          <w:tcPr>
            <w:tcW w:w="1800" w:type="dxa"/>
            <w:vAlign w:val="center"/>
          </w:tcPr>
          <w:p>
            <w:pPr>
              <w:jc w:val="center"/>
              <w:rPr/>
            </w:pPr>
            <w:r>
              <w:rPr>
                <w:rFonts w:ascii="Arial Unicode MS" w:cs="Arial Unicode MS" w:eastAsia="Arial Unicode MS" w:hAnsi="Arial Unicode MS"/>
                <w:sz w:val="18"/>
                <w:szCs w:val="18"/>
                <w:rtl w:val="0"/>
              </w:rPr>
              <w:t xml:space="preserve">0 h</w:t>
            </w:r>
          </w:p>
        </w:tc>
      </w:tr>
    </w:tbl>
    <w:p w:rsidR="00000000" w:rsidRDefault="00000000">
      <w:pPr>
        <w:rPr/>
      </w:pPr>
      <w:r>
        <w:rPr>
          <w:rtl w:val="0"/>
        </w:rPr>
      </w:r>
    </w:p>
    <w:p w:rsidR="00000000" w:rsidRDefault="00000000">
      <w:pPr>
        <w:rPr/>
      </w:pPr>
      <w:r>
        <w:rPr>
          <w:rFonts w:ascii="Arial Unicode MS" w:cs="Arial Unicode MS" w:eastAsia="Arial Unicode MS" w:hAnsi="Arial Unicode MS"/>
          <w:rtl w:val="0"/>
        </w:rPr>
        <w:t xml:space="preserve">초과가 집중되는 두 리전의 성격은 상반된다. 캘리포니아는 상한을 초과한 슬롯의 77.7%가 19시부터 21시까지 세 시간에 몰린다. 균등 분포라면 12.5%다. 반면 프랑스는 상위 세 시간대의 비중이 30.2%로 분산되어 있다. 탄소집약도의 사분위 범위는 캘리포니아가 86에서 208 gCO₂/kWh, 프랑스가 5에서 18 gCO₂/kWh다. 즉 캘리포니아의 초과는 태양광 유입으로 생기는 좁은 저탄소 시간대로의 집중이고, 프랑스의 초과는 리전 전체가 항상 낮아 물량이 몰리는 것이다. 두 리전에서 지연민감도 등급 k=1의 비중은 각각 34.6%와 33.1%로 거의 같다. 즉 지연 여유가 큰 등급이 초과의 공통 원인이나, 그 위에 나타나는 집중의 형태는 리전의 탄소집약도 특성에 따라 달라진다.</w:t>
      </w:r>
    </w:p>
    <w:p w:rsidR="00000000" w:rsidRDefault="00000000">
      <w:pPr>
        <w:rPr/>
      </w:pPr>
      <w:r>
        <w:rPr>
          <w:rtl w:val="0"/>
        </w:rPr>
      </w:r>
    </w:p>
    <w:p w:rsidR="00000000" w:rsidRDefault="00000000">
      <w:pPr>
        <w:rPr/>
      </w:pPr>
      <w:r>
        <w:rPr>
          <w:rFonts w:ascii="Arial Unicode MS" w:cs="Arial Unicode MS" w:eastAsia="Arial Unicode MS" w:hAnsi="Arial Unicode MS"/>
          <w:rtl w:val="0"/>
        </w:rPr>
        <w:t xml:space="preserve">선행 연구는 이 현상을 단일 클러스터 맥락에서 지적하였으나 정량화하지는 않았다. https://arxiv.org/abs/2505.18357 — 원문: "Considering a capacity limit is important to avoid a 'thundering herd' problem where all jobs defer their execution to the same low-carbon time and potentially exceed the cluster's capacity." 해당 서술이 근거로 인용하는 문헌은 운영체제 커널의 프로세스 동기화를 다룬 1990년 연구로, 탄소 인지 스케줄링 맥락의 측정이 아니다. 같은 연구는 클러스터 용량 한도를 세 수준으로 변화시켜 실험하나 그 대상은 단일 클러스터이며 리전 간 공간 이동을 다루지 않는다. https://arxiv.org/abs/2505.18357 — 원문: "the maximum allowed cluster capacity limit, denoted as M, where M = 100, 150, and 200, which represents ~75%, ~50%, and ~37% utilization, respectively."</w:t>
      </w:r>
    </w:p>
    <w:p w:rsidR="00000000" w:rsidRDefault="00000000">
      <w:pPr>
        <w:rPr/>
      </w:pPr>
      <w:r>
        <w:rPr>
          <w:rtl w:val="0"/>
        </w:rPr>
      </w:r>
    </w:p>
    <w:p w:rsidR="00000000" w:rsidRDefault="00000000">
      <w:pPr>
        <w:rPr/>
      </w:pPr>
      <w:r>
        <w:rPr>
          <w:rtl w:val="0"/>
        </w:rPr>
      </w:r>
    </w:p>
    <w:p w:rsidR="00000000" w:rsidRDefault="00000000">
      <w:pPr>
        <w:rPr>
          <w:b w:val="1"/>
          <w:bCs w:val="1"/>
          <w:sz w:val="28"/>
          <w:szCs w:val="28"/>
        </w:rPr>
      </w:pPr>
      <w:r>
        <w:rPr>
          <w:rFonts w:ascii="Arial Unicode MS" w:cs="Arial Unicode MS" w:eastAsia="Arial Unicode MS" w:hAnsi="Arial Unicode MS"/>
          <w:b w:val="1"/>
          <w:bCs w:val="1"/>
          <w:sz w:val="28"/>
          <w:szCs w:val="28"/>
          <w:rtl w:val="0"/>
        </w:rPr>
        <w:t xml:space="preserve">사후 용량 강제</w:t>
      </w:r>
    </w:p>
    <w:p w:rsidR="00000000" w:rsidRDefault="00000000">
      <w:pPr>
        <w:rPr/>
      </w:pPr>
      <w:r>
        <w:rPr>
          <w:rFonts w:ascii="Arial Unicode MS" w:cs="Arial Unicode MS" w:eastAsia="Arial Unicode MS" w:hAnsi="Arial Unicode MS"/>
          <w:rtl w:val="0"/>
        </w:rPr>
        <w:t xml:space="preserve">시간 이동 단계에 용량 제약을 온라인으로 반영하는 것은 본 연구에서 구현하지 않았다. 대신 배치가 결정된 뒤에 상한을 초과한 작업을 되돌려 그 영향을 산정하였다.</w:t>
      </w:r>
    </w:p>
    <w:p w:rsidR="00000000" w:rsidRDefault="00000000">
      <w:pPr>
        <w:rPr/>
      </w:pPr>
      <w:r>
        <w:rPr>
          <w:rtl w:val="0"/>
        </w:rPr>
      </w:r>
    </w:p>
    <w:p w:rsidR="00000000" w:rsidRDefault="00000000">
      <w:pPr>
        <w:rPr/>
      </w:pPr>
      <w:r>
        <w:rPr>
          <w:rFonts w:ascii="Arial Unicode MS" w:cs="Arial Unicode MS" w:eastAsia="Arial Unicode MS" w:hAnsi="Arial Unicode MS"/>
          <w:rtl w:val="0"/>
        </w:rPr>
        <w:t xml:space="preserve">되돌리는 규칙은 다음과 같다. 동시 실행 수가 상한을 초과하는 구간에 걸쳐 있는 작업을 시간 이동 이전의 시각, 즉 즉시 실행으로 되돌린다. 되돌린 작업이 원래 시각에서 새로운 초과를 만들 수 있으므로 초과가 사라질 때까지 반복한다. 프랑스는 5회, 캘리포니아는 3회 반복한 뒤 8개 리전 전부가 상한 이하로 수렴하였다.</w:t>
      </w:r>
    </w:p>
    <w:p w:rsidR="00000000" w:rsidRDefault="00000000">
      <w:pPr>
        <w:rPr/>
      </w:pPr>
      <w:r>
        <w:rPr>
          <w:rtl w:val="0"/>
        </w:rPr>
      </w:r>
    </w:p>
    <w:p w:rsidR="00000000" w:rsidRDefault="00000000">
      <w:pPr>
        <w:rPr/>
      </w:pPr>
      <w:r>
        <w:rPr>
          <w:rFonts w:ascii="Arial Unicode MS" w:cs="Arial Unicode MS" w:eastAsia="Arial Unicode MS" w:hAnsi="Arial Unicode MS"/>
          <w:rtl w:val="0"/>
        </w:rPr>
        <w:t xml:space="preserve">이 규칙은 배치 시점에 용량을 아는 스케줄러보다 항상 같거나 나쁜 결과를 낸다. 배치 시점에 용량을 아는 스케줄러는 이미 찬 슬롯을 피해 차선의 슬롯을 선택할 수 있으나, 사후 복구는 이미 집중이 일어난 뒤에 초과분을 밀어내므로 선택지가 더 적다. 따라서 아래 값은 용량 인지 스케줄러가 달성할 절감량의 하한이다.</w:t>
      </w:r>
    </w:p>
    <w:p w:rsidR="00000000" w:rsidRDefault="00000000">
      <w:pPr>
        <w:rPr/>
      </w:pPr>
      <w:r>
        <w:rPr>
          <w:rtl w:val="0"/>
        </w:rPr>
      </w:r>
    </w:p>
    <w:p w:rsidR="00000000" w:rsidRDefault="00000000">
      <w:pPr>
        <w:rPr/>
      </w:pPr>
      <w:r>
        <w:rPr>
          <w:rFonts w:ascii="Arial Unicode MS" w:cs="Arial Unicode MS" w:eastAsia="Arial Unicode MS" w:hAnsi="Arial Unicode MS"/>
          <w:rtl w:val="0"/>
        </w:rPr>
        <w:t xml:space="preserve">표 2. 사후 용량 강제 전후 비교</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0"/>
        <w:gridCol w:w="2100"/>
        <w:gridCol w:w="2400"/>
        <w:gridCol w:w="1700"/>
      </w:tblGrid>
      <w:tr>
        <w:tc>
          <w:tcPr>
            <w:tcW w:w="3000" w:type="dxa"/>
            <w:vAlign w:val="center"/>
          </w:tcPr>
          <w:p>
            <w:pPr>
              <w:jc w:val="center"/>
              <w:rPr>
                <w:b w:val="1"/>
                <w:bCs w:val="1"/>
              </w:rPr>
            </w:pPr>
            <w:r>
              <w:rPr>
                <w:rFonts w:ascii="Arial Unicode MS" w:cs="Arial Unicode MS" w:eastAsia="Arial Unicode MS" w:hAnsi="Arial Unicode MS"/>
                <w:b w:val="1"/>
                <w:bCs w:val="1"/>
                <w:sz w:val="18"/>
                <w:szCs w:val="18"/>
                <w:rtl w:val="0"/>
              </w:rPr>
              <w:t xml:space="preserve">구분</w:t>
            </w:r>
          </w:p>
        </w:tc>
        <w:tc>
          <w:tcPr>
            <w:tcW w:w="2100" w:type="dxa"/>
            <w:vAlign w:val="center"/>
          </w:tcPr>
          <w:p>
            <w:pPr>
              <w:jc w:val="center"/>
              <w:rPr>
                <w:b w:val="1"/>
                <w:bCs w:val="1"/>
              </w:rPr>
            </w:pPr>
            <w:r>
              <w:rPr>
                <w:rFonts w:ascii="Arial Unicode MS" w:cs="Arial Unicode MS" w:eastAsia="Arial Unicode MS" w:hAnsi="Arial Unicode MS"/>
                <w:b w:val="1"/>
                <w:bCs w:val="1"/>
                <w:sz w:val="18"/>
                <w:szCs w:val="18"/>
                <w:rtl w:val="0"/>
              </w:rPr>
              <w:t xml:space="preserve">총 배출량</w:t>
            </w:r>
          </w:p>
        </w:tc>
        <w:tc>
          <w:tcPr>
            <w:tcW w:w="2400" w:type="dxa"/>
            <w:vAlign w:val="center"/>
          </w:tcPr>
          <w:p>
            <w:pPr>
              <w:jc w:val="center"/>
              <w:rPr>
                <w:b w:val="1"/>
                <w:bCs w:val="1"/>
              </w:rPr>
            </w:pPr>
            <w:r>
              <w:rPr>
                <w:rFonts w:ascii="Arial Unicode MS" w:cs="Arial Unicode MS" w:eastAsia="Arial Unicode MS" w:hAnsi="Arial Unicode MS"/>
                <w:b w:val="1"/>
                <w:bCs w:val="1"/>
                <w:sz w:val="18"/>
                <w:szCs w:val="18"/>
                <w:rtl w:val="0"/>
              </w:rPr>
              <w:t xml:space="preserve">시간 이동의 한계 기여</w:t>
            </w:r>
          </w:p>
        </w:tc>
        <w:tc>
          <w:tcPr>
            <w:tcW w:w="1700" w:type="dxa"/>
            <w:vAlign w:val="center"/>
          </w:tcPr>
          <w:p>
            <w:pPr>
              <w:jc w:val="center"/>
              <w:rPr>
                <w:b w:val="1"/>
                <w:bCs w:val="1"/>
              </w:rPr>
            </w:pPr>
            <w:r>
              <w:rPr>
                <w:rFonts w:ascii="Arial Unicode MS" w:cs="Arial Unicode MS" w:eastAsia="Arial Unicode MS" w:hAnsi="Arial Unicode MS"/>
                <w:b w:val="1"/>
                <w:bCs w:val="1"/>
                <w:sz w:val="18"/>
                <w:szCs w:val="18"/>
                <w:rtl w:val="0"/>
              </w:rPr>
              <w:t xml:space="preserve">총 절감률</w:t>
            </w:r>
          </w:p>
        </w:tc>
      </w:tr>
      <w:tr>
        <w:tc>
          <w:tcPr>
            <w:tcW w:w="3000" w:type="dxa"/>
            <w:vAlign w:val="center"/>
          </w:tcPr>
          <w:p>
            <w:pPr>
              <w:rPr/>
            </w:pPr>
            <w:r>
              <w:rPr>
                <w:rFonts w:ascii="Arial Unicode MS" w:cs="Arial Unicode MS" w:eastAsia="Arial Unicode MS" w:hAnsi="Arial Unicode MS"/>
                <w:sz w:val="18"/>
                <w:szCs w:val="18"/>
                <w:rtl w:val="0"/>
              </w:rPr>
              <w:t xml:space="preserve">공간 이동만</w:t>
            </w:r>
          </w:p>
        </w:tc>
        <w:tc>
          <w:tcPr>
            <w:tcW w:w="2100" w:type="dxa"/>
            <w:vAlign w:val="center"/>
          </w:tcPr>
          <w:p>
            <w:pPr>
              <w:jc w:val="center"/>
              <w:rPr/>
            </w:pPr>
            <w:r>
              <w:rPr>
                <w:rFonts w:ascii="Arial Unicode MS" w:cs="Arial Unicode MS" w:eastAsia="Arial Unicode MS" w:hAnsi="Arial Unicode MS"/>
                <w:sz w:val="18"/>
                <w:szCs w:val="18"/>
                <w:rtl w:val="0"/>
              </w:rPr>
              <w:t xml:space="preserve">12,609.8 kg</w:t>
            </w:r>
          </w:p>
        </w:tc>
        <w:tc>
          <w:tcPr>
            <w:tcW w:w="2400" w:type="dxa"/>
            <w:vAlign w:val="center"/>
          </w:tcPr>
          <w:p>
            <w:pPr>
              <w:jc w:val="center"/>
              <w:rPr/>
            </w:pPr>
            <w:r>
              <w:rPr>
                <w:rFonts w:ascii="Arial Unicode MS" w:cs="Arial Unicode MS" w:eastAsia="Arial Unicode MS" w:hAnsi="Arial Unicode MS"/>
                <w:sz w:val="18"/>
                <w:szCs w:val="18"/>
                <w:rtl w:val="0"/>
              </w:rPr>
              <w:t xml:space="preserve">—</w:t>
            </w:r>
          </w:p>
        </w:tc>
        <w:tc>
          <w:tcPr>
            <w:tcW w:w="1700" w:type="dxa"/>
            <w:vAlign w:val="center"/>
          </w:tcPr>
          <w:p>
            <w:pPr>
              <w:jc w:val="center"/>
              <w:rPr/>
            </w:pPr>
            <w:r>
              <w:rPr>
                <w:rFonts w:ascii="Arial Unicode MS" w:cs="Arial Unicode MS" w:eastAsia="Arial Unicode MS" w:hAnsi="Arial Unicode MS"/>
                <w:sz w:val="18"/>
                <w:szCs w:val="18"/>
                <w:rtl w:val="0"/>
              </w:rPr>
              <w:t xml:space="preserve">−56.85%</w:t>
            </w:r>
          </w:p>
        </w:tc>
      </w:tr>
      <w:tr>
        <w:tc>
          <w:tcPr>
            <w:tcW w:w="3000" w:type="dxa"/>
            <w:vAlign w:val="center"/>
          </w:tcPr>
          <w:p>
            <w:pPr>
              <w:rPr/>
            </w:pPr>
            <w:r>
              <w:rPr>
                <w:rFonts w:ascii="Arial Unicode MS" w:cs="Arial Unicode MS" w:eastAsia="Arial Unicode MS" w:hAnsi="Arial Unicode MS"/>
                <w:sz w:val="18"/>
                <w:szCs w:val="18"/>
                <w:rtl w:val="0"/>
              </w:rPr>
              <w:t xml:space="preserve">시간 이동 (용량 미강제)</w:t>
            </w:r>
          </w:p>
        </w:tc>
        <w:tc>
          <w:tcPr>
            <w:tcW w:w="2100" w:type="dxa"/>
            <w:vAlign w:val="center"/>
          </w:tcPr>
          <w:p>
            <w:pPr>
              <w:jc w:val="center"/>
              <w:rPr/>
            </w:pPr>
            <w:r>
              <w:rPr>
                <w:rFonts w:ascii="Arial Unicode MS" w:cs="Arial Unicode MS" w:eastAsia="Arial Unicode MS" w:hAnsi="Arial Unicode MS"/>
                <w:sz w:val="18"/>
                <w:szCs w:val="18"/>
                <w:rtl w:val="0"/>
              </w:rPr>
              <w:t xml:space="preserve">9,958.2 kg</w:t>
            </w:r>
          </w:p>
        </w:tc>
        <w:tc>
          <w:tcPr>
            <w:tcW w:w="2400" w:type="dxa"/>
            <w:vAlign w:val="center"/>
          </w:tcPr>
          <w:p>
            <w:pPr>
              <w:jc w:val="center"/>
              <w:rPr/>
            </w:pPr>
            <w:r>
              <w:rPr>
                <w:rFonts w:ascii="Arial Unicode MS" w:cs="Arial Unicode MS" w:eastAsia="Arial Unicode MS" w:hAnsi="Arial Unicode MS"/>
                <w:sz w:val="18"/>
                <w:szCs w:val="18"/>
                <w:rtl w:val="0"/>
              </w:rPr>
              <w:t xml:space="preserve">−21.03%p</w:t>
            </w:r>
          </w:p>
        </w:tc>
        <w:tc>
          <w:tcPr>
            <w:tcW w:w="1700" w:type="dxa"/>
            <w:vAlign w:val="center"/>
          </w:tcPr>
          <w:p>
            <w:pPr>
              <w:jc w:val="center"/>
              <w:rPr/>
            </w:pPr>
            <w:r>
              <w:rPr>
                <w:rFonts w:ascii="Arial Unicode MS" w:cs="Arial Unicode MS" w:eastAsia="Arial Unicode MS" w:hAnsi="Arial Unicode MS"/>
                <w:sz w:val="18"/>
                <w:szCs w:val="18"/>
                <w:rtl w:val="0"/>
              </w:rPr>
              <w:t xml:space="preserve">−65.93%</w:t>
            </w:r>
          </w:p>
        </w:tc>
      </w:tr>
      <w:tr>
        <w:tc>
          <w:tcPr>
            <w:tcW w:w="3000" w:type="dxa"/>
            <w:vAlign w:val="center"/>
          </w:tcPr>
          <w:p>
            <w:pPr>
              <w:rPr/>
            </w:pPr>
            <w:r>
              <w:rPr>
                <w:rFonts w:ascii="Arial Unicode MS" w:cs="Arial Unicode MS" w:eastAsia="Arial Unicode MS" w:hAnsi="Arial Unicode MS"/>
                <w:sz w:val="18"/>
                <w:szCs w:val="18"/>
                <w:rtl w:val="0"/>
              </w:rPr>
              <w:t xml:space="preserve">시간 이동 (사후 용량 강제)</w:t>
            </w:r>
          </w:p>
        </w:tc>
        <w:tc>
          <w:tcPr>
            <w:tcW w:w="2100" w:type="dxa"/>
            <w:vAlign w:val="center"/>
          </w:tcPr>
          <w:p>
            <w:pPr>
              <w:jc w:val="center"/>
              <w:rPr/>
            </w:pPr>
            <w:r>
              <w:rPr>
                <w:rFonts w:ascii="Arial Unicode MS" w:cs="Arial Unicode MS" w:eastAsia="Arial Unicode MS" w:hAnsi="Arial Unicode MS"/>
                <w:sz w:val="18"/>
                <w:szCs w:val="18"/>
                <w:rtl w:val="0"/>
              </w:rPr>
              <w:t xml:space="preserve">11,873.0 kg</w:t>
            </w:r>
          </w:p>
        </w:tc>
        <w:tc>
          <w:tcPr>
            <w:tcW w:w="2400" w:type="dxa"/>
            <w:vAlign w:val="center"/>
          </w:tcPr>
          <w:p>
            <w:pPr>
              <w:jc w:val="center"/>
              <w:rPr/>
            </w:pPr>
            <w:r>
              <w:rPr>
                <w:rFonts w:ascii="Arial Unicode MS" w:cs="Arial Unicode MS" w:eastAsia="Arial Unicode MS" w:hAnsi="Arial Unicode MS"/>
                <w:sz w:val="18"/>
                <w:szCs w:val="18"/>
                <w:rtl w:val="0"/>
              </w:rPr>
              <w:t xml:space="preserve">−5.84%p</w:t>
            </w:r>
          </w:p>
        </w:tc>
        <w:tc>
          <w:tcPr>
            <w:tcW w:w="1700" w:type="dxa"/>
            <w:vAlign w:val="center"/>
          </w:tcPr>
          <w:p>
            <w:pPr>
              <w:jc w:val="center"/>
              <w:rPr/>
            </w:pPr>
            <w:r>
              <w:rPr>
                <w:rFonts w:ascii="Arial Unicode MS" w:cs="Arial Unicode MS" w:eastAsia="Arial Unicode MS" w:hAnsi="Arial Unicode MS"/>
                <w:sz w:val="18"/>
                <w:szCs w:val="18"/>
                <w:rtl w:val="0"/>
              </w:rPr>
              <w:t xml:space="preserve">−59.37%</w:t>
            </w:r>
          </w:p>
        </w:tc>
      </w:tr>
    </w:tbl>
    <w:p w:rsidR="00000000" w:rsidRDefault="00000000">
      <w:pPr>
        <w:rPr/>
      </w:pPr>
      <w:r>
        <w:rPr>
          <w:rtl w:val="0"/>
        </w:rPr>
      </w:r>
    </w:p>
    <w:p w:rsidR="00000000" w:rsidRDefault="00000000">
      <w:pPr>
        <w:rPr/>
      </w:pPr>
      <w:r>
        <w:rPr>
          <w:rFonts w:ascii="Arial Unicode MS" w:cs="Arial Unicode MS" w:eastAsia="Arial Unicode MS" w:hAnsi="Arial Unicode MS"/>
          <w:rtl w:val="0"/>
        </w:rPr>
        <w:t xml:space="preserve">되돌린 작업은 31,250건이다. 이 값의 의미는 분모를 무엇으로 두느냐에 따라 달라진다. 전체 146,000건 대비로는 21.4%이나, 시간 이동의 대상이 될 수 있는 작업은 지연 예산이 슬롯 길이인 1시간보다 긴 등급, 즉 k=1과 k=2의 58,288건뿐이다. 이를 분모로 하면 53.6%가 되어 시간 이동된 작업의 절반 이상이 용량 때문에 되돌려진 셈이다. 후자가 실질을 나타낸다. (실제로 시간 이동이 적용된 작업 수를 분모로 한 정확한 비율은 coder 확정 대기)</w:t>
      </w:r>
    </w:p>
    <w:p w:rsidR="00000000" w:rsidRDefault="00000000">
      <w:pPr>
        <w:rPr/>
      </w:pPr>
      <w:r>
        <w:rPr>
          <w:rtl w:val="0"/>
        </w:rPr>
      </w:r>
    </w:p>
    <w:p w:rsidR="00000000" w:rsidRDefault="00000000">
      <w:pPr>
        <w:rPr/>
      </w:pPr>
      <w:r>
        <w:rPr>
          <w:rFonts w:ascii="Arial Unicode MS" w:cs="Arial Unicode MS" w:eastAsia="Arial Unicode MS" w:hAnsi="Arial Unicode MS"/>
          <w:rtl w:val="0"/>
        </w:rPr>
        <w:t xml:space="preserve">그러나 이 손실은 리전에 고르게 분포하지 않는다. 손실의 94.3%가 캘리포니아 한 리전에서 발생한다. 되돌린 작업 한 건당 평균 손실은 캘리포니아가 109.74 g, 프랑스가 4.10 g으로 26.8배 차이난다. 프랑스에서 되돌린 작업은 13,258건으로 적지 않으나 그로 인한 손실은 54.3 kg에 그친다. 프랑스의 시간 이동은 애초에 절감을 거의 만들지 않았다는 뜻이다. 탄소집약도가 종일 평탄한 리전에서는 실행 시각을 옮겨도 얻을 것이 없기 때문이다.</w:t>
      </w:r>
    </w:p>
    <w:p w:rsidR="00000000" w:rsidRDefault="00000000">
      <w:pPr>
        <w:rPr/>
      </w:pPr>
      <w:r>
        <w:rPr>
          <w:rtl w:val="0"/>
        </w:rPr>
      </w:r>
    </w:p>
    <w:p w:rsidR="00000000" w:rsidRDefault="00000000">
      <w:pPr>
        <w:rPr/>
      </w:pPr>
      <w:r>
        <w:rPr>
          <w:rFonts w:ascii="Arial Unicode MS" w:cs="Arial Unicode MS" w:eastAsia="Arial Unicode MS" w:hAnsi="Arial Unicode MS"/>
          <w:rtl w:val="0"/>
        </w:rPr>
        <w:t xml:space="preserve">표 3. 사후 용량 강제의 리전별 분해</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600"/>
        <w:gridCol w:w="1900"/>
        <w:gridCol w:w="1200"/>
        <w:gridCol w:w="1800"/>
        <w:gridCol w:w="1800"/>
      </w:tblGrid>
      <w:tr>
        <w:tc>
          <w:tcPr>
            <w:tcW w:w="2600" w:type="dxa"/>
            <w:vAlign w:val="center"/>
          </w:tcPr>
          <w:p>
            <w:pPr>
              <w:jc w:val="center"/>
              <w:rPr>
                <w:b w:val="1"/>
                <w:bCs w:val="1"/>
              </w:rPr>
            </w:pPr>
            <w:r>
              <w:rPr>
                <w:rFonts w:ascii="Arial Unicode MS" w:cs="Arial Unicode MS" w:eastAsia="Arial Unicode MS" w:hAnsi="Arial Unicode MS"/>
                <w:b w:val="1"/>
                <w:bCs w:val="1"/>
                <w:sz w:val="18"/>
                <w:szCs w:val="18"/>
                <w:rtl w:val="0"/>
              </w:rPr>
              <w:t xml:space="preserve">리전</w:t>
            </w:r>
          </w:p>
        </w:tc>
        <w:tc>
          <w:tcPr>
            <w:tcW w:w="1900" w:type="dxa"/>
            <w:vAlign w:val="center"/>
          </w:tcPr>
          <w:p>
            <w:pPr>
              <w:jc w:val="center"/>
              <w:rPr>
                <w:b w:val="1"/>
                <w:bCs w:val="1"/>
              </w:rPr>
            </w:pPr>
            <w:r>
              <w:rPr>
                <w:rFonts w:ascii="Arial Unicode MS" w:cs="Arial Unicode MS" w:eastAsia="Arial Unicode MS" w:hAnsi="Arial Unicode MS"/>
                <w:b w:val="1"/>
                <w:bCs w:val="1"/>
                <w:sz w:val="18"/>
                <w:szCs w:val="18"/>
                <w:rtl w:val="0"/>
              </w:rPr>
              <w:t xml:space="preserve">되돌린 작업</w:t>
            </w:r>
          </w:p>
        </w:tc>
        <w:tc>
          <w:tcPr>
            <w:tcW w:w="1200" w:type="dxa"/>
            <w:vAlign w:val="center"/>
          </w:tcPr>
          <w:p>
            <w:pPr>
              <w:jc w:val="center"/>
              <w:rPr>
                <w:b w:val="1"/>
                <w:bCs w:val="1"/>
              </w:rPr>
            </w:pPr>
            <w:r>
              <w:rPr>
                <w:rFonts w:ascii="Arial Unicode MS" w:cs="Arial Unicode MS" w:eastAsia="Arial Unicode MS" w:hAnsi="Arial Unicode MS"/>
                <w:b w:val="1"/>
                <w:bCs w:val="1"/>
                <w:sz w:val="18"/>
                <w:szCs w:val="18"/>
                <w:rtl w:val="0"/>
              </w:rPr>
              <w:t xml:space="preserve">반복</w:t>
            </w:r>
          </w:p>
        </w:tc>
        <w:tc>
          <w:tcPr>
            <w:tcW w:w="1800" w:type="dxa"/>
            <w:vAlign w:val="center"/>
          </w:tcPr>
          <w:p>
            <w:pPr>
              <w:jc w:val="center"/>
              <w:rPr>
                <w:b w:val="1"/>
                <w:bCs w:val="1"/>
              </w:rPr>
            </w:pPr>
            <w:r>
              <w:rPr>
                <w:rFonts w:ascii="Arial Unicode MS" w:cs="Arial Unicode MS" w:eastAsia="Arial Unicode MS" w:hAnsi="Arial Unicode MS"/>
                <w:b w:val="1"/>
                <w:bCs w:val="1"/>
                <w:sz w:val="18"/>
                <w:szCs w:val="18"/>
                <w:rtl w:val="0"/>
              </w:rPr>
              <w:t xml:space="preserve">손실 편익</w:t>
            </w:r>
          </w:p>
        </w:tc>
        <w:tc>
          <w:tcPr>
            <w:tcW w:w="1800" w:type="dxa"/>
            <w:vAlign w:val="center"/>
          </w:tcPr>
          <w:p>
            <w:pPr>
              <w:jc w:val="center"/>
              <w:rPr>
                <w:b w:val="1"/>
                <w:bCs w:val="1"/>
              </w:rPr>
            </w:pPr>
            <w:r>
              <w:rPr>
                <w:rFonts w:ascii="Arial Unicode MS" w:cs="Arial Unicode MS" w:eastAsia="Arial Unicode MS" w:hAnsi="Arial Unicode MS"/>
                <w:b w:val="1"/>
                <w:bCs w:val="1"/>
                <w:sz w:val="18"/>
                <w:szCs w:val="18"/>
                <w:rtl w:val="0"/>
              </w:rPr>
              <w:t xml:space="preserve">건당 평균 손실</w:t>
            </w:r>
          </w:p>
        </w:tc>
      </w:tr>
      <w:tr>
        <w:tc>
          <w:tcPr>
            <w:tcW w:w="2600" w:type="dxa"/>
            <w:vAlign w:val="center"/>
          </w:tcPr>
          <w:p>
            <w:pPr>
              <w:rPr/>
            </w:pPr>
            <w:r>
              <w:rPr>
                <w:rFonts w:ascii="Arial Unicode MS" w:cs="Arial Unicode MS" w:eastAsia="Arial Unicode MS" w:hAnsi="Arial Unicode MS"/>
                <w:sz w:val="18"/>
                <w:szCs w:val="18"/>
                <w:rtl w:val="0"/>
              </w:rPr>
              <w:t xml:space="preserve">US-CAL-CISO</w:t>
            </w:r>
          </w:p>
        </w:tc>
        <w:tc>
          <w:tcPr>
            <w:tcW w:w="1900" w:type="dxa"/>
            <w:vAlign w:val="center"/>
          </w:tcPr>
          <w:p>
            <w:pPr>
              <w:jc w:val="center"/>
              <w:rPr/>
            </w:pPr>
            <w:r>
              <w:rPr>
                <w:rFonts w:ascii="Arial Unicode MS" w:cs="Arial Unicode MS" w:eastAsia="Arial Unicode MS" w:hAnsi="Arial Unicode MS"/>
                <w:sz w:val="18"/>
                <w:szCs w:val="18"/>
                <w:rtl w:val="0"/>
              </w:rPr>
              <w:t xml:space="preserve">16,449</w:t>
            </w:r>
          </w:p>
        </w:tc>
        <w:tc>
          <w:tcPr>
            <w:tcW w:w="1200" w:type="dxa"/>
            <w:vAlign w:val="center"/>
          </w:tcPr>
          <w:p>
            <w:pPr>
              <w:jc w:val="center"/>
              <w:rPr/>
            </w:pPr>
            <w:r>
              <w:rPr>
                <w:rFonts w:ascii="Arial Unicode MS" w:cs="Arial Unicode MS" w:eastAsia="Arial Unicode MS" w:hAnsi="Arial Unicode MS"/>
                <w:sz w:val="18"/>
                <w:szCs w:val="18"/>
                <w:rtl w:val="0"/>
              </w:rPr>
              <w:t xml:space="preserve">3</w:t>
            </w:r>
          </w:p>
        </w:tc>
        <w:tc>
          <w:tcPr>
            <w:tcW w:w="1800" w:type="dxa"/>
            <w:vAlign w:val="center"/>
          </w:tcPr>
          <w:p>
            <w:pPr>
              <w:jc w:val="center"/>
              <w:rPr/>
            </w:pPr>
            <w:r>
              <w:rPr>
                <w:rFonts w:ascii="Arial Unicode MS" w:cs="Arial Unicode MS" w:eastAsia="Arial Unicode MS" w:hAnsi="Arial Unicode MS"/>
                <w:sz w:val="18"/>
                <w:szCs w:val="18"/>
                <w:rtl w:val="0"/>
              </w:rPr>
              <w:t xml:space="preserve">1,805.1 kg</w:t>
            </w:r>
          </w:p>
        </w:tc>
        <w:tc>
          <w:tcPr>
            <w:tcW w:w="1800" w:type="dxa"/>
            <w:vAlign w:val="center"/>
          </w:tcPr>
          <w:p>
            <w:pPr>
              <w:jc w:val="center"/>
              <w:rPr/>
            </w:pPr>
            <w:r>
              <w:rPr>
                <w:rFonts w:ascii="Arial Unicode MS" w:cs="Arial Unicode MS" w:eastAsia="Arial Unicode MS" w:hAnsi="Arial Unicode MS"/>
                <w:sz w:val="18"/>
                <w:szCs w:val="18"/>
                <w:rtl w:val="0"/>
              </w:rPr>
              <w:t xml:space="preserve">109.74 g</w:t>
            </w:r>
          </w:p>
        </w:tc>
      </w:tr>
      <w:tr>
        <w:tc>
          <w:tcPr>
            <w:tcW w:w="2600" w:type="dxa"/>
            <w:vAlign w:val="center"/>
          </w:tcPr>
          <w:p>
            <w:pPr>
              <w:rPr/>
            </w:pPr>
            <w:r>
              <w:rPr>
                <w:rFonts w:ascii="Arial Unicode MS" w:cs="Arial Unicode MS" w:eastAsia="Arial Unicode MS" w:hAnsi="Arial Unicode MS"/>
                <w:sz w:val="18"/>
                <w:szCs w:val="18"/>
                <w:rtl w:val="0"/>
              </w:rPr>
              <w:t xml:space="preserve">FR</w:t>
            </w:r>
          </w:p>
        </w:tc>
        <w:tc>
          <w:tcPr>
            <w:tcW w:w="1900" w:type="dxa"/>
            <w:vAlign w:val="center"/>
          </w:tcPr>
          <w:p>
            <w:pPr>
              <w:jc w:val="center"/>
              <w:rPr/>
            </w:pPr>
            <w:r>
              <w:rPr>
                <w:rFonts w:ascii="Arial Unicode MS" w:cs="Arial Unicode MS" w:eastAsia="Arial Unicode MS" w:hAnsi="Arial Unicode MS"/>
                <w:sz w:val="18"/>
                <w:szCs w:val="18"/>
                <w:rtl w:val="0"/>
              </w:rPr>
              <w:t xml:space="preserve">13,258</w:t>
            </w:r>
          </w:p>
        </w:tc>
        <w:tc>
          <w:tcPr>
            <w:tcW w:w="1200" w:type="dxa"/>
            <w:vAlign w:val="center"/>
          </w:tcPr>
          <w:p>
            <w:pPr>
              <w:jc w:val="center"/>
              <w:rPr/>
            </w:pPr>
            <w:r>
              <w:rPr>
                <w:rFonts w:ascii="Arial Unicode MS" w:cs="Arial Unicode MS" w:eastAsia="Arial Unicode MS" w:hAnsi="Arial Unicode MS"/>
                <w:sz w:val="18"/>
                <w:szCs w:val="18"/>
                <w:rtl w:val="0"/>
              </w:rPr>
              <w:t xml:space="preserve">5</w:t>
            </w:r>
          </w:p>
        </w:tc>
        <w:tc>
          <w:tcPr>
            <w:tcW w:w="1800" w:type="dxa"/>
            <w:vAlign w:val="center"/>
          </w:tcPr>
          <w:p>
            <w:pPr>
              <w:jc w:val="center"/>
              <w:rPr/>
            </w:pPr>
            <w:r>
              <w:rPr>
                <w:rFonts w:ascii="Arial Unicode MS" w:cs="Arial Unicode MS" w:eastAsia="Arial Unicode MS" w:hAnsi="Arial Unicode MS"/>
                <w:sz w:val="18"/>
                <w:szCs w:val="18"/>
                <w:rtl w:val="0"/>
              </w:rPr>
              <w:t xml:space="preserve">54.3 kg</w:t>
            </w:r>
          </w:p>
        </w:tc>
        <w:tc>
          <w:tcPr>
            <w:tcW w:w="1800" w:type="dxa"/>
            <w:vAlign w:val="center"/>
          </w:tcPr>
          <w:p>
            <w:pPr>
              <w:jc w:val="center"/>
              <w:rPr/>
            </w:pPr>
            <w:r>
              <w:rPr>
                <w:rFonts w:ascii="Arial Unicode MS" w:cs="Arial Unicode MS" w:eastAsia="Arial Unicode MS" w:hAnsi="Arial Unicode MS"/>
                <w:sz w:val="18"/>
                <w:szCs w:val="18"/>
                <w:rtl w:val="0"/>
              </w:rPr>
              <w:t xml:space="preserve">4.10 g</w:t>
            </w:r>
          </w:p>
        </w:tc>
      </w:tr>
      <w:tr>
        <w:tc>
          <w:tcPr>
            <w:tcW w:w="2600" w:type="dxa"/>
            <w:vAlign w:val="center"/>
          </w:tcPr>
          <w:p>
            <w:pPr>
              <w:rPr/>
            </w:pPr>
            <w:r>
              <w:rPr>
                <w:rFonts w:ascii="Arial Unicode MS" w:cs="Arial Unicode MS" w:eastAsia="Arial Unicode MS" w:hAnsi="Arial Unicode MS"/>
                <w:sz w:val="18"/>
                <w:szCs w:val="18"/>
                <w:rtl w:val="0"/>
              </w:rPr>
              <w:t xml:space="preserve">나머지 6개 리전</w:t>
            </w:r>
          </w:p>
        </w:tc>
        <w:tc>
          <w:tcPr>
            <w:tcW w:w="1900" w:type="dxa"/>
            <w:vAlign w:val="center"/>
          </w:tcPr>
          <w:p>
            <w:pPr>
              <w:jc w:val="center"/>
              <w:rPr/>
            </w:pPr>
            <w:r>
              <w:rPr>
                <w:rFonts w:ascii="Arial Unicode MS" w:cs="Arial Unicode MS" w:eastAsia="Arial Unicode MS" w:hAnsi="Arial Unicode MS"/>
                <w:sz w:val="18"/>
                <w:szCs w:val="18"/>
                <w:rtl w:val="0"/>
              </w:rPr>
              <w:t xml:space="preserve">1,543</w:t>
            </w:r>
          </w:p>
        </w:tc>
        <w:tc>
          <w:tcPr>
            <w:tcW w:w="1200" w:type="dxa"/>
            <w:vAlign w:val="center"/>
          </w:tcPr>
          <w:p>
            <w:pPr>
              <w:jc w:val="center"/>
              <w:rPr/>
            </w:pPr>
            <w:r>
              <w:rPr>
                <w:rFonts w:ascii="Arial Unicode MS" w:cs="Arial Unicode MS" w:eastAsia="Arial Unicode MS" w:hAnsi="Arial Unicode MS"/>
                <w:sz w:val="18"/>
                <w:szCs w:val="18"/>
                <w:rtl w:val="0"/>
              </w:rPr>
              <w:t xml:space="preserve">—</w:t>
            </w:r>
          </w:p>
        </w:tc>
        <w:tc>
          <w:tcPr>
            <w:tcW w:w="1800" w:type="dxa"/>
            <w:vAlign w:val="center"/>
          </w:tcPr>
          <w:p>
            <w:pPr>
              <w:jc w:val="center"/>
              <w:rPr/>
            </w:pPr>
            <w:r>
              <w:rPr>
                <w:rFonts w:ascii="Arial Unicode MS" w:cs="Arial Unicode MS" w:eastAsia="Arial Unicode MS" w:hAnsi="Arial Unicode MS"/>
                <w:sz w:val="18"/>
                <w:szCs w:val="18"/>
                <w:rtl w:val="0"/>
              </w:rPr>
              <w:t xml:space="preserve">55.4 kg</w:t>
            </w:r>
          </w:p>
        </w:tc>
        <w:tc>
          <w:tcPr>
            <w:tcW w:w="1800" w:type="dxa"/>
            <w:vAlign w:val="center"/>
          </w:tcPr>
          <w:p>
            <w:pPr>
              <w:jc w:val="center"/>
              <w:rPr/>
            </w:pPr>
            <w:r>
              <w:rPr>
                <w:rFonts w:ascii="Arial Unicode MS" w:cs="Arial Unicode MS" w:eastAsia="Arial Unicode MS" w:hAnsi="Arial Unicode MS"/>
                <w:sz w:val="18"/>
                <w:szCs w:val="18"/>
                <w:rtl w:val="0"/>
              </w:rPr>
              <w:t xml:space="preserve">—</w:t>
            </w:r>
          </w:p>
        </w:tc>
      </w:tr>
    </w:tbl>
    <w:p w:rsidR="00000000" w:rsidRDefault="00000000">
      <w:pPr>
        <w:rPr/>
      </w:pPr>
      <w:r>
        <w:rPr>
          <w:rtl w:val="0"/>
        </w:rPr>
      </w:r>
    </w:p>
    <w:p w:rsidR="00000000" w:rsidRDefault="00000000">
      <w:pPr>
        <w:rPr/>
      </w:pPr>
      <w:r>
        <w:rPr>
          <w:rFonts w:ascii="Arial Unicode MS" w:cs="Arial Unicode MS" w:eastAsia="Arial Unicode MS" w:hAnsi="Arial Unicode MS"/>
          <w:rtl w:val="0"/>
        </w:rPr>
        <w:t xml:space="preserve">이 분해는 선행 연구의 관찰과 맞닿는다. Sukprasert 등은 공간 이동의 이득이 낮음에도 시간 변동이 커서 순 절감이 유의미한 예외로 캘리포니아와 버지니아를 지목하였다. https://doi.org/10.1145/3627703.3650079 — 원문: "there are some exceptions where regions have low spatial gains and high temporal gains and yet result in relatively high net carbon reductions, such as California (US-CA) and Virginia (US-VA)." 본 연구에서 시간 이동이 만든 절감 2,651.6 kg 가운데 캘리포니아 한 리전이 1,905.4 kg, 즉 71.9%를 차지한다. 나머지 7개 리전의 합이 28.1%에 그친다. 그리고 용량 초과가 가장 심한 리전도 캘리포니아다. 즉 시간 이동이 값어치를 만드는 리전과 용량 제약이 그 값어치를 가로막는 리전이 일치한다. 이는 두 축을 결합할 때 용량 제약을 두지 않으면 시간 이동의 이득이 체계적으로 과대평가됨을 뜻한다.</w:t>
      </w:r>
    </w:p>
    <w:p w:rsidR="00000000" w:rsidRDefault="00000000">
      <w:pPr>
        <w:rPr/>
      </w:pPr>
      <w:r>
        <w:rPr>
          <w:rFonts w:ascii="Arial Unicode MS" w:cs="Arial Unicode MS" w:eastAsia="Arial Unicode MS" w:hAnsi="Arial Unicode MS"/>
          <w:rtl w:val="0"/>
        </w:rPr>
        <w:t xml:space="preserve">리전별 시간 이동 절감 기여는 캘리포니아 71.9%, 일본 8.8%, 한국 8.2%, 독일 4.2%, 프랑스 2.3%, 텍사스 1.7%, 인도 1.7%, 뉴욕 1.3%다. 프랑스는 배정 물량이 54,178건으로 8개 리전 중 가장 많으나 시간 이동 절감 기여는 2.3%에 그친다.</w:t>
      </w:r>
    </w:p>
    <w:p w:rsidR="00000000" w:rsidRDefault="00000000">
      <w:pPr>
        <w:rPr/>
      </w:pPr>
      <w:r>
        <w:rPr>
          <w:rtl w:val="0"/>
        </w:rPr>
      </w:r>
    </w:p>
    <w:p w:rsidR="00000000" w:rsidRDefault="00000000">
      <w:pPr>
        <w:rPr/>
      </w:pPr>
      <w:r>
        <w:rPr>
          <w:rFonts w:ascii="Arial Unicode MS" w:cs="Arial Unicode MS" w:eastAsia="Arial Unicode MS" w:hAnsi="Arial Unicode MS"/>
          <w:rtl w:val="0"/>
        </w:rPr>
        <w:t xml:space="preserve">선행 연구 스스로도 자신의 시간 이동 결과가 어떤 조건에 의존하는지 밝혔다.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 본 연구가 측정한 것은 이 가운데 자원 제약의 부재라는 조건이 성립하지 않을 때 결과가 얼마나 달라지는가이다.</w:t>
      </w:r>
    </w:p>
    <w:p w:rsidR="00000000" w:rsidRDefault="00000000">
      <w:pPr>
        <w:rPr/>
      </w:pPr>
      <w:r>
        <w:rPr>
          <w:rtl w:val="0"/>
        </w:rPr>
      </w:r>
    </w:p>
    <w:p w:rsidR="00000000" w:rsidRDefault="00000000">
      <w:pPr>
        <w:rPr/>
      </w:pPr>
      <w:r>
        <w:rPr>
          <w:rtl w:val="0"/>
        </w:rPr>
      </w:r>
    </w:p>
    <w:p w:rsidR="00000000" w:rsidDel="00000000" w:rsidP="00000000" w:rsidRDefault="00000000" w:rsidRPr="00000000" w14:paraId="0000011C">
      <w:pPr>
        <w:spacing w:line="276" w:lineRule="auto"/>
        <w:rPr/>
      </w:pPr>
      <w:r w:rsidDel="00000000" w:rsidR="00000000" w:rsidRPr="00000000">
        <w:rPr>
          <w:rtl w:val="0"/>
        </w:rPr>
      </w:r>
    </w:p>
    <w:p w:rsidR="00000000" w:rsidDel="00000000" w:rsidP="00000000" w:rsidRDefault="00000000" w:rsidRPr="00000000" w14:paraId="0000011D">
      <w:pPr>
        <w:spacing w:line="276" w:lineRule="auto"/>
        <w:rPr/>
      </w:pPr>
      <w:r w:rsidDel="00000000" w:rsidR="00000000" w:rsidRPr="00000000">
        <w:rPr>
          <w:rtl w:val="0"/>
        </w:rPr>
      </w:r>
    </w:p>
    <w:p w:rsidR="00000000" w:rsidDel="00000000" w:rsidP="00000000" w:rsidRDefault="00000000" w:rsidRPr="00000000" w14:paraId="0000011E">
      <w:pPr>
        <w:spacing w:line="276" w:lineRule="auto"/>
        <w:rPr/>
      </w:pPr>
      <w:r w:rsidDel="00000000" w:rsidR="00000000" w:rsidRPr="00000000">
        <w:rPr>
          <w:rtl w:val="0"/>
        </w:rPr>
      </w:r>
    </w:p>
    <w:p w:rsidR="00000000" w:rsidDel="00000000" w:rsidP="00000000" w:rsidRDefault="00000000" w:rsidRPr="00000000" w14:paraId="0000011F">
      <w:pPr>
        <w:spacing w:line="276" w:lineRule="auto"/>
        <w:rPr/>
      </w:pPr>
      <w:r w:rsidDel="00000000" w:rsidR="00000000" w:rsidRPr="00000000">
        <w:rPr>
          <w:rtl w:val="0"/>
        </w:rPr>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line="276" w:lineRule="auto"/>
        <w:rPr/>
      </w:pPr>
      <w:r w:rsidDel="00000000" w:rsidR="00000000" w:rsidRPr="00000000">
        <w:rPr>
          <w:rtl w:val="0"/>
        </w:rPr>
      </w:r>
    </w:p>
    <w:p w:rsidR="00000000" w:rsidDel="00000000" w:rsidP="00000000" w:rsidRDefault="00000000" w:rsidRPr="00000000" w14:paraId="00000122">
      <w:pPr>
        <w:spacing w:line="276" w:lineRule="auto"/>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r>
    </w:p>
    <w:p w:rsidR="00000000" w:rsidDel="00000000" w:rsidP="00000000" w:rsidRDefault="00000000" w:rsidRPr="00000000" w14:paraId="00000124">
      <w:pPr>
        <w:spacing w:line="276" w:lineRule="auto"/>
        <w:rPr>
          <w:sz w:val="32"/>
          <w:szCs w:val="32"/>
        </w:rPr>
      </w:pPr>
      <w:r w:rsidDel="00000000" w:rsidR="00000000" w:rsidRPr="00000000">
        <w:rPr>
          <w:rFonts w:ascii="Arial Unicode MS" w:cs="Arial Unicode MS" w:eastAsia="Arial Unicode MS" w:hAnsi="Arial Unicode MS"/>
          <w:sz w:val="32"/>
          <w:szCs w:val="32"/>
          <w:rtl w:val="0"/>
        </w:rPr>
        <w:t xml:space="preserve">결론</w:t>
      </w:r>
    </w:p>
    <w:p>
      <w:pPr>
        <w:rPr/>
      </w:pPr>
      <w:r>
        <w:rPr>
          <w:rFonts w:ascii="Arial Unicode MS" w:cs="Arial Unicode MS" w:eastAsia="Arial Unicode MS" w:hAnsi="Arial Unicode MS"/>
          <w:rtl w:val="0"/>
        </w:rPr>
        <w:t xml:space="preserve">본 논문은 탄소 인지 스케줄링 시스템 CAST를 제안하고,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pPr>
        <w:rPr/>
      </w:pPr>
      <w:r>
        <w:rPr>
          <w:rtl w:val="0"/>
        </w:rPr>
      </w:r>
    </w:p>
    <w:p>
      <w:pPr>
        <w:rPr/>
      </w:pPr>
      <w:r>
        <w:rPr>
          <w:rFonts w:ascii="Arial Unicode MS" w:cs="Arial Unicode MS" w:eastAsia="Arial Unicode MS" w:hAnsi="Arial Unicode MS"/>
          <w:rtl w:val="0"/>
        </w:rPr>
        <w:t xml:space="preserve">공간 이동만으로 총 배출량이 56.85% 감소하였고, 여기에 시간 이동을 더하면 65.93%까지 감소한다. 작업 146,000건 전량이 마감 이내에 처리되어 마감 위반은 발생하지 않았다.</w:t>
      </w:r>
    </w:p>
    <w:p>
      <w:pPr>
        <w:rPr/>
      </w:pPr>
      <w:r>
        <w:rPr>
          <w:rtl w:val="0"/>
        </w:rPr>
      </w:r>
    </w:p>
    <w:p>
      <w:pPr>
        <w:rPr/>
      </w:pPr>
      <w:r>
        <w:rPr>
          <w:rFonts w:ascii="Arial Unicode MS" w:cs="Arial Unicode MS" w:eastAsia="Arial Unicode MS" w:hAnsi="Arial Unicode MS"/>
          <w:rtl w:val="0"/>
        </w:rP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21.03%p에서 5.84%p로 줄어든다. 사후 강제는 배치 시점에 용량을 아는 스케줄러보다 항상 같거나 나쁜 결과를 내므로, 이 값은 하한이다. 실현 가능한 절감은 59.37%와 65.93% 사이에 있다.</w:t>
      </w:r>
    </w:p>
    <w:p>
      <w:pPr>
        <w:rPr/>
      </w:pPr>
      <w:r>
        <w:rPr>
          <w:rtl w:val="0"/>
        </w:rPr>
      </w:r>
    </w:p>
    <w:p>
      <w:pPr>
        <w:rPr/>
      </w:pPr>
      <w:r>
        <w:rPr>
          <w:rFonts w:ascii="Arial Unicode MS" w:cs="Arial Unicode MS" w:eastAsia="Arial Unicode MS" w:hAnsi="Arial Unicode MS"/>
          <w:rtl w:val="0"/>
        </w:rPr>
        <w:t xml:space="preserve">본 연구의 주된 발견은 총계가 아니라 그 분포에 있다. 시간 이동이 만든 절감의 71.9%가 캘리포니아 한 리전에서 발생하며, 용량 초과가 가장 심한 리전도 캘리포니아다. 캘리포니아에서 상한을 초과한 슬롯의 77.7%는 19시부터 21시까지 세 시간에 몰린다. 반면 탄소집약도가 종일 평탄한 프랑스는 배정 물량이 가장 많음에도 시간 이동 절감 기여가 2.3%에 그치고, 되돌려도 잃는 것이 거의 없다. 즉 시간 이동이 값어치를 만드는 리전과 용량 제약이 그 값어치를 가로막는 리전이 일치한다. 선행 연구가 시간 이동이 실질적으로 기여하는 예외로 이름을 붙인 리전이 바로 캘리포니아였다는 점에서, 본 연구는 그 예외가 발생하는 메커니즘과 그것이 용량에 의해 어떻게 제약되는지를 실측한 것이 된다. https://doi.org/10.1145/3627703.3650079 — 원문: "there are some exceptions where regions have low spatial gains and high temporal gains and yet result in relatively high net carbon reductions, such as California (US-CA) and Virginia (US-VA)"</w:t>
      </w:r>
    </w:p>
    <w:p>
      <w:pPr>
        <w:rPr/>
      </w:pPr>
      <w:r>
        <w:rPr>
          <w:rtl w:val="0"/>
        </w:rPr>
      </w:r>
    </w:p>
    <w:p>
      <w:pPr>
        <w:rPr/>
      </w:pPr>
      <w:r>
        <w:rPr>
          <w:rFonts w:ascii="Arial Unicode MS" w:cs="Arial Unicode MS" w:eastAsia="Arial Unicode MS" w:hAnsi="Arial Unicode MS"/>
          <w:rtl w:val="0"/>
        </w:rPr>
        <w:t xml:space="preserve">한계는 네 가지다. 첫째, 시간 이동 단계에 용량 제약을 온라인으로 반영하는 구현은 수행하지 않았다. 본 논문은 용량을 무시했을 때와 사후에 강제했을 때의 결과를 모두 보고하는 데 그친다. 둘째, 리전 용량을 8개 리전에 균일하게 부여하였고 탄력적 확장을 모델링하지 않았다. 따라서 본 연구의 결과는 선행 연구의 결론이 틀렸음을 보인 것이 아니라, 그 결론이 용량 가정에 얼마나 민감한지를 보인 것이다. 셋째, 소비 전력을 작업당 1kW 상수로 가정하였다. 넷째, 대상은 8개 리전 1년치이며 시뮬레이션이다.</w:t>
      </w:r>
    </w:p>
    <w:p>
      <w:pPr>
        <w:rPr/>
      </w:pPr>
      <w:r>
        <w:rPr>
          <w:rtl w:val="0"/>
        </w:rPr>
      </w:r>
    </w:p>
    <w:p>
      <w:pPr>
        <w:rPr/>
      </w:pPr>
      <w:r>
        <w:rPr>
          <w:rFonts w:ascii="Arial Unicode MS" w:cs="Arial Unicode MS" w:eastAsia="Arial Unicode MS" w:hAnsi="Arial Unicode MS"/>
          <w:rtl w:val="0"/>
        </w:rPr>
        <w:t xml:space="preserve">향후 과제는 셋이다. 첫째, 용량을 인지하는 온라인 시간 이동의 설계와 구현이다. 슬롯별 리전 점유량을 추적하여 상한에 도달한 슬롯을 후보에서 배제하되, 슬롯 경합 시 잔여 여유가 적은 작업을 우선하는 방식을 검토할 수 있다. 둘째, 리전별로 이질적인 용량과 탄력적 확장의 도입이다. 본 연구는 8개 리전에 동일한 용량을 부여하였는데, 이 설정에서는 용량을 조일 때 부하가 고변동 리전으로 밀려나는 효과와 그 리전 안에서 실행 시각을 옮길 여지가 줄어드는 효과가 같은 부호로 동시에 일어난다. 리전별 용량이 이질적이면 두 효과가 분리될 수 있으므로, 이질 용량은 단순한 현실성 보강이 아니라 두 축의 상호작용을 규명하는 데 필요한 조건이다. 셋째, 실측 전력 프로파일의 반영이다.</w:t>
      </w:r>
    </w:p>
    <w:p>
      <w:pPr>
        <w:rPr/>
      </w:pPr>
      <w:r>
        <w:rPr>
          <w:rtl w:val="0"/>
        </w:rPr>
      </w:r>
    </w:p>
    <w:p>
      <w:pPr>
        <w:rPr/>
      </w:pPr>
      <w:r>
        <w:rPr>
          <w:rFonts w:ascii="Arial Unicode MS" w:cs="Arial Unicode MS" w:eastAsia="Arial Unicode MS" w:hAnsi="Arial Unicode MS"/>
          <w:rtl w:val="0"/>
        </w:rPr>
        <w:t xml:space="preserve">(수치는 M3 용량 스윕 결과 나오면 다시 볼 것. 특히 셋째 문단의 범위 표현)</w:t>
      </w:r>
    </w:p>
    <w:p>
      <w:pPr>
        <w:rPr/>
      </w:pPr>
      <w:r>
        <w:rPr>
          <w:rtl w:val="0"/>
        </w:rPr>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spacing w:line="276" w:lineRule="auto"/>
        <w:rPr/>
      </w:pPr>
      <w:r w:rsidDel="00000000" w:rsidR="00000000" w:rsidRPr="00000000">
        <w:rPr>
          <w:rtl w:val="0"/>
        </w:rPr>
      </w:r>
    </w:p>
    <w:p w:rsidR="00000000" w:rsidDel="00000000" w:rsidP="00000000" w:rsidRDefault="00000000" w:rsidRPr="00000000" w14:paraId="0000012B">
      <w:pPr>
        <w:spacing w:line="276" w:lineRule="auto"/>
        <w:rPr/>
      </w:pPr>
      <w:r w:rsidDel="00000000" w:rsidR="00000000" w:rsidRPr="00000000">
        <w:rPr>
          <w:rtl w:val="0"/>
        </w:rPr>
      </w:r>
    </w:p>
    <w:p w:rsidR="00000000" w:rsidDel="00000000" w:rsidP="00000000" w:rsidRDefault="00000000" w:rsidRPr="00000000" w14:paraId="0000012C">
      <w:pPr>
        <w:spacing w:line="276" w:lineRule="auto"/>
        <w:rPr/>
      </w:pPr>
      <w:r w:rsidDel="00000000" w:rsidR="00000000" w:rsidRPr="00000000">
        <w:rPr>
          <w:rtl w:val="0"/>
        </w:rPr>
      </w:r>
    </w:p>
    <w:p w:rsidR="00000000" w:rsidDel="00000000" w:rsidP="00000000" w:rsidRDefault="00000000" w:rsidRPr="00000000" w14:paraId="0000012D">
      <w:pPr>
        <w:spacing w:line="276" w:lineRule="auto"/>
        <w:rPr/>
      </w:pPr>
      <w:r w:rsidDel="00000000" w:rsidR="00000000" w:rsidRPr="00000000">
        <w:rPr>
          <w:rtl w:val="0"/>
        </w:rPr>
      </w:r>
    </w:p>
    <w:p w:rsidR="00000000" w:rsidDel="00000000" w:rsidP="00000000" w:rsidRDefault="00000000" w:rsidRPr="00000000" w14:paraId="0000012E">
      <w:pPr>
        <w:spacing w:line="276" w:lineRule="auto"/>
        <w:rPr/>
      </w:pPr>
      <w:r w:rsidDel="00000000" w:rsidR="00000000" w:rsidRPr="00000000">
        <w:rPr>
          <w:rtl w:val="0"/>
        </w:rPr>
      </w:r>
    </w:p>
    <w:p w:rsidR="00000000" w:rsidDel="00000000" w:rsidP="00000000" w:rsidRDefault="00000000" w:rsidRPr="00000000" w14:paraId="0000012F">
      <w:pPr>
        <w:spacing w:line="276" w:lineRule="auto"/>
        <w:rPr/>
      </w:pPr>
      <w:r w:rsidDel="00000000" w:rsidR="00000000" w:rsidRPr="00000000">
        <w:rPr>
          <w:rtl w:val="0"/>
        </w:rPr>
      </w:r>
    </w:p>
    <w:p w:rsidR="00000000" w:rsidDel="00000000" w:rsidP="00000000" w:rsidRDefault="00000000" w:rsidRPr="00000000" w14:paraId="00000130">
      <w:pPr>
        <w:spacing w:line="276" w:lineRule="auto"/>
        <w:rPr/>
      </w:pPr>
      <w:r w:rsidDel="00000000" w:rsidR="00000000" w:rsidRPr="00000000">
        <w:rPr>
          <w:rtl w:val="0"/>
        </w:rPr>
      </w:r>
    </w:p>
    <w:p w:rsidR="00000000" w:rsidDel="00000000" w:rsidP="00000000" w:rsidRDefault="00000000" w:rsidRPr="00000000" w14:paraId="00000131">
      <w:pPr>
        <w:spacing w:line="276" w:lineRule="auto"/>
        <w:rPr/>
      </w:pPr>
      <w:r w:rsidDel="00000000" w:rsidR="00000000" w:rsidRPr="00000000">
        <w:rPr>
          <w:rtl w:val="0"/>
        </w:rPr>
      </w:r>
    </w:p>
    <w:p w:rsidR="00000000" w:rsidDel="00000000" w:rsidP="00000000" w:rsidRDefault="00000000" w:rsidRPr="00000000" w14:paraId="00000132">
      <w:pPr>
        <w:spacing w:line="276" w:lineRule="auto"/>
        <w:rPr/>
      </w:pPr>
      <w:r w:rsidDel="00000000" w:rsidR="00000000" w:rsidRPr="00000000">
        <w:rPr>
          <w:rtl w:val="0"/>
        </w:rPr>
      </w:r>
    </w:p>
    <w:p w:rsidR="00000000" w:rsidDel="00000000" w:rsidP="00000000" w:rsidRDefault="00000000" w:rsidRPr="00000000" w14:paraId="00000133">
      <w:pPr>
        <w:spacing w:line="276" w:lineRule="auto"/>
        <w:rPr/>
      </w:pPr>
      <w:r w:rsidDel="00000000" w:rsidR="00000000" w:rsidRPr="00000000">
        <w:rPr>
          <w:rtl w:val="0"/>
        </w:rPr>
      </w:r>
    </w:p>
    <w:p w:rsidR="00000000" w:rsidDel="00000000" w:rsidP="00000000" w:rsidRDefault="00000000" w:rsidRPr="00000000" w14:paraId="00000134">
      <w:pPr>
        <w:spacing w:line="276" w:lineRule="auto"/>
        <w:rPr/>
      </w:pPr>
      <w:r w:rsidDel="00000000" w:rsidR="00000000" w:rsidRPr="00000000">
        <w:rPr>
          <w:rtl w:val="0"/>
        </w:rPr>
      </w:r>
    </w:p>
    <w:sectPr>
      <w:footerReference r:id="rId4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l.acm.org/doi/10.1145/3604930.3605711" TargetMode="External"/><Relationship Id="rId20" Type="http://schemas.openxmlformats.org/officeDocument/2006/relationships/hyperlink" Target="https://dl.acm.org/doi/10.1145/3604930.3605711" TargetMode="External"/><Relationship Id="rId42" Type="http://schemas.openxmlformats.org/officeDocument/2006/relationships/hyperlink" Target="https://doi.org/10.1145/3627703.3650079" TargetMode="External"/><Relationship Id="rId41" Type="http://schemas.openxmlformats.org/officeDocument/2006/relationships/hyperlink" Target="https://doi.org/10.1145/3627703.3650079" TargetMode="External"/><Relationship Id="rId22" Type="http://schemas.openxmlformats.org/officeDocument/2006/relationships/hyperlink" Target="https://arxiv.org/pdf/2106.11750" TargetMode="External"/><Relationship Id="rId44" Type="http://schemas.openxmlformats.org/officeDocument/2006/relationships/hyperlink" Target="https://arxiv.org/pdf/2106.11750" TargetMode="External"/><Relationship Id="rId21" Type="http://schemas.openxmlformats.org/officeDocument/2006/relationships/hyperlink" Target="https://doi.org/10.1145/3634769.3634812" TargetMode="External"/><Relationship Id="rId43" Type="http://schemas.openxmlformats.org/officeDocument/2006/relationships/hyperlink" Target="https://doi.org/10.1145/3634769.3634812" TargetMode="External"/><Relationship Id="rId24" Type="http://schemas.openxmlformats.org/officeDocument/2006/relationships/hyperlink" Target="https://doi.org/10.1145/3627703.3650079" TargetMode="External"/><Relationship Id="rId23" Type="http://schemas.openxmlformats.org/officeDocument/2006/relationships/hyperlink" Target="https://doi.org/10.1145/3627703.3650079"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ur-lex.europa.eu/legal-content/EN/TXT/HTML/?uri=CELEX:32023L1791" TargetMode="External"/><Relationship Id="rId26" Type="http://schemas.openxmlformats.org/officeDocument/2006/relationships/hyperlink" Target="https://www.electricitymaps.com/data-portal" TargetMode="External"/><Relationship Id="rId25" Type="http://schemas.openxmlformats.org/officeDocument/2006/relationships/hyperlink" Target="https://arxiv.org/abs/2505.18357" TargetMode="External"/><Relationship Id="rId28" Type="http://schemas.openxmlformats.org/officeDocument/2006/relationships/hyperlink" Target="https://doi.org/10.1145/3627703.3650079" TargetMode="External"/><Relationship Id="rId27" Type="http://schemas.openxmlformats.org/officeDocument/2006/relationships/hyperlink" Target="https://www.electricitymaps.com/data-portal" TargetMode="External"/><Relationship Id="rId5" Type="http://schemas.openxmlformats.org/officeDocument/2006/relationships/styles" Target="styles.xml"/><Relationship Id="rId6" Type="http://schemas.openxmlformats.org/officeDocument/2006/relationships/hyperlink" Target="https://claude.ai/share/e6c15d1f-cfeb-4c4f-8f73-09dd89e1f3ff" TargetMode="External"/><Relationship Id="rId29" Type="http://schemas.openxmlformats.org/officeDocument/2006/relationships/hyperlink" Target="https://doi.org/10.1145/3627703.3650079" TargetMode="External"/><Relationship Id="rId7" Type="http://schemas.openxmlformats.org/officeDocument/2006/relationships/hyperlink" Target="https://claude.ai/share/ae03885a-f9f4-4c6d-a1ee-6f6c49ea90f4" TargetMode="External"/><Relationship Id="rId8" Type="http://schemas.openxmlformats.org/officeDocument/2006/relationships/hyperlink" Target="https://www.iea.org/reports/energy-and-ai/executive-summary" TargetMode="External"/><Relationship Id="rId31"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11" Type="http://schemas.openxmlformats.org/officeDocument/2006/relationships/hyperlink" Target="https://www.iea.org/reports/energy-and-ai/executive-summary" TargetMode="External"/><Relationship Id="rId33" Type="http://schemas.openxmlformats.org/officeDocument/2006/relationships/hyperlink" Target="https://doi.org/10.1145/3563357.3564079" TargetMode="External"/><Relationship Id="rId10" Type="http://schemas.openxmlformats.org/officeDocument/2006/relationships/hyperlink" Target="https://www.iea.org/reports/energy-and-ai/executive-summary" TargetMode="External"/><Relationship Id="rId32" Type="http://schemas.openxmlformats.org/officeDocument/2006/relationships/hyperlink" Target="https://doi.org/10.1145/3538637.3538849" TargetMode="External"/><Relationship Id="rId13" Type="http://schemas.openxmlformats.org/officeDocument/2006/relationships/hyperlink" Target="https://www.iea.org/reports/energy-and-ai/executive-summary" TargetMode="External"/><Relationship Id="rId35" Type="http://schemas.openxmlformats.org/officeDocument/2006/relationships/hyperlink" Target="https://www.electricitymaps.com/data/methodology" TargetMode="External"/><Relationship Id="rId12" Type="http://schemas.openxmlformats.org/officeDocument/2006/relationships/hyperlink" Target="https://www.gstatic.com/gumdrop/sustainability/24x7-carbon-free-energy-methodologies-metrics.pdf" TargetMode="External"/><Relationship Id="rId34" Type="http://schemas.openxmlformats.org/officeDocument/2006/relationships/hyperlink" Target="https://doi.org/10.1145/3607114.3607117" TargetMode="External"/><Relationship Id="rId15" Type="http://schemas.openxmlformats.org/officeDocument/2006/relationships/hyperlink" Target="https://doi.org/10.1145/3634769.3634812" TargetMode="External"/><Relationship Id="rId37" Type="http://schemas.openxmlformats.org/officeDocument/2006/relationships/hyperlink" Target="https://arxiv.org/pdf/2106.11750" TargetMode="External"/><Relationship Id="rId14" Type="http://schemas.openxmlformats.org/officeDocument/2006/relationships/hyperlink" Target="https://doi.org/10.1145/3634769.3634812" TargetMode="External"/><Relationship Id="rId36" Type="http://schemas.openxmlformats.org/officeDocument/2006/relationships/hyperlink" Target="https://arxiv.org/abs/2505.18357" TargetMode="External"/><Relationship Id="rId17" Type="http://schemas.openxmlformats.org/officeDocument/2006/relationships/hyperlink" Target="https://doi.org/10.1145/3634769.3634812" TargetMode="External"/><Relationship Id="rId39" Type="http://schemas.openxmlformats.org/officeDocument/2006/relationships/hyperlink" Target="https://doi.org/10.1145/3634769.3634812" TargetMode="External"/><Relationship Id="rId16" Type="http://schemas.openxmlformats.org/officeDocument/2006/relationships/hyperlink" Target="https://doi.org/10.1145/3634769.3634812" TargetMode="External"/><Relationship Id="rId38" Type="http://schemas.openxmlformats.org/officeDocument/2006/relationships/hyperlink" Target="https://arxiv.org/abs/2505.18357" TargetMode="External"/><Relationship Id="rId19" Type="http://schemas.openxmlformats.org/officeDocument/2006/relationships/hyperlink" Target="https://doi.org/10.1145/3634769.3634812" TargetMode="External"/><Relationship Id="rId18" Type="http://schemas.openxmlformats.org/officeDocument/2006/relationships/hyperlink" Target="https://arxiv.org/pdf/2106.11750" TargetMode="External"/><Relationship Id="rIdCASTIMG0" Type="http://schemas.openxmlformats.org/officeDocument/2006/relationships/image" Target="media/cast_fig_pareto.png"/><Relationship Id="rIdCASTIMG1" Type="http://schemas.openxmlformats.org/officeDocument/2006/relationships/image" Target="media/cast_fig_region.png"/><Relationship Id="rIdCASTF0" Type="http://schemas.openxmlformats.org/officeDocument/2006/relationships/image" Target="media/cast_fig_system.png"/><Relationship Id="rIdCASTF1" Type="http://schemas.openxmlformats.org/officeDocument/2006/relationships/image" Target="media/cast_fig_daily.png"/><Relationship Id="rIdCASTF2" Type="http://schemas.openxmlformats.org/officeDocument/2006/relationships/image" Target="media/cast_fig_lst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