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KCI 등재기준 학회</w:t>
      </w:r>
    </w:p>
    <w:p w:rsidR="00000000" w:rsidDel="00000000" w:rsidP="00000000" w:rsidRDefault="00000000" w:rsidRPr="00000000" w14:paraId="0000000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정보처리학회논문지: 컴퓨터 및 통신시스템(KTCCS)</w:t>
      </w:r>
    </w:p>
    <w:p w:rsidR="00000000" w:rsidDel="00000000" w:rsidP="00000000" w:rsidRDefault="00000000" w:rsidRPr="00000000" w14:paraId="0000000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w:t>
      </w:r>
    </w:p>
    <w:p w:rsidR="00000000" w:rsidDel="00000000" w:rsidP="00000000" w:rsidRDefault="00000000" w:rsidRPr="00000000" w14:paraId="0000000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투고분야에 클라우드 컴퓨팅 등 명시되어 있음</w:t>
      </w:r>
    </w:p>
    <w:p w:rsidR="00000000" w:rsidDel="00000000" w:rsidP="00000000" w:rsidRDefault="00000000" w:rsidRPr="00000000" w14:paraId="0000000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정보과학회 컴퓨팅의 실제 논문지(KTCP)</w:t>
      </w:r>
    </w:p>
    <w:p w:rsidR="00000000" w:rsidDel="00000000" w:rsidP="00000000" w:rsidRDefault="00000000" w:rsidRPr="00000000" w14:paraId="0000000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15일)</w:t>
      </w:r>
    </w:p>
    <w:p w:rsidR="00000000" w:rsidDel="00000000" w:rsidP="00000000" w:rsidRDefault="00000000" w:rsidRPr="00000000" w14:paraId="0000000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컴퓨터 시스템의 구현, 사용분석 등을 다룬다고 함</w:t>
      </w:r>
    </w:p>
    <w:p w:rsidR="00000000" w:rsidDel="00000000" w:rsidP="00000000" w:rsidRDefault="00000000" w:rsidRPr="00000000" w14:paraId="0000000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3. 한국정보기술학회논문지(JKIIT)</w:t>
      </w:r>
    </w:p>
    <w:p w:rsidR="00000000" w:rsidDel="00000000" w:rsidP="00000000" w:rsidRDefault="00000000" w:rsidRPr="00000000" w14:paraId="0000000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말일)</w:t>
      </w:r>
    </w:p>
    <w:p w:rsidR="00000000" w:rsidDel="00000000" w:rsidP="00000000" w:rsidRDefault="00000000" w:rsidRPr="00000000" w14:paraId="000000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Impact Factor는 가장 높은데, 게재는 수월한 편(클로드 왈)</w:t>
      </w:r>
    </w:p>
    <w:p w:rsidR="00000000" w:rsidDel="00000000" w:rsidP="00000000" w:rsidRDefault="00000000" w:rsidRPr="00000000" w14:paraId="000000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4. 한국정보통신학회논문지(JKIICE)</w:t>
      </w:r>
    </w:p>
    <w:p w:rsidR="00000000" w:rsidDel="00000000" w:rsidP="00000000" w:rsidRDefault="00000000" w:rsidRPr="00000000" w14:paraId="000000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w:t>
      </w:r>
    </w:p>
    <w:p w:rsidR="00000000" w:rsidDel="00000000" w:rsidP="00000000" w:rsidRDefault="00000000" w:rsidRPr="00000000" w14:paraId="000000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네트워크 통신 색채가 있어서 리전 간 라우팅 어필하면 좋을듯</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3">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SCIE 등재 학회</w:t>
      </w:r>
    </w:p>
    <w:p w:rsidR="00000000" w:rsidDel="00000000" w:rsidP="00000000" w:rsidRDefault="00000000" w:rsidRPr="00000000" w14:paraId="000000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IEEE Access</w:t>
      </w:r>
    </w:p>
    <w:p w:rsidR="00000000" w:rsidDel="00000000" w:rsidP="00000000" w:rsidRDefault="00000000" w:rsidRPr="00000000" w14:paraId="000000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월간투고인데, 게재료가 270만원으로 비쌈</w:t>
      </w:r>
    </w:p>
    <w:p w:rsidR="00000000" w:rsidDel="00000000" w:rsidP="00000000" w:rsidRDefault="00000000" w:rsidRPr="00000000" w14:paraId="000000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JoCCASA</w:t>
      </w:r>
    </w:p>
    <w:p w:rsidR="00000000" w:rsidDel="00000000" w:rsidP="00000000" w:rsidRDefault="00000000" w:rsidRPr="00000000" w14:paraId="00000018">
      <w:pPr>
        <w:spacing w:line="276" w:lineRule="auto"/>
        <w:ind w:left="0" w:firstLine="0"/>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참고한 클로드(서론~해결하려고 했던 기존 방법)</w:t>
      </w:r>
    </w:p>
    <w:p w:rsidR="00000000" w:rsidDel="00000000" w:rsidP="00000000" w:rsidRDefault="00000000" w:rsidRPr="00000000" w14:paraId="000000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논문 작성 및 학회 검색</w:t>
      </w:r>
    </w:p>
    <w:p w:rsidR="00000000" w:rsidDel="00000000" w:rsidP="00000000" w:rsidRDefault="00000000" w:rsidRPr="00000000" w14:paraId="00000026">
      <w:pPr>
        <w:spacing w:line="276" w:lineRule="auto"/>
        <w:rPr>
          <w:rFonts w:ascii="Times New Roman" w:hAnsi="Times New Roman" w:cs="Times New Roman" w:eastAsia="나눔명조"/>
          <w:sz w:val="20"/>
          <w:szCs w:val="20"/>
        </w:rPr>
      </w:pPr>
      <w:hyperlink r:id="rId6">
        <w:r w:rsidDel="00000000" w:rsidR="00000000" w:rsidRPr="00000000">
          <w:rPr>
            <w:rFonts w:ascii="Times New Roman" w:hAnsi="Times New Roman" w:cs="Times New Roman" w:eastAsia="나눔명조"/>
            <w:sz w:val="20"/>
            <w:szCs w:val="20"/>
            <w:color w:val="1155cc"/>
            <w:u w:val="single"/>
            <w:rtl w:val="0"/>
          </w:rPr>
          <w:t xml:space="preserve">https://claude.ai/share/e6c15d1f-cfeb-4c4f-8f73-09dd89e1f3ff</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작성 검증</w:t>
      </w:r>
    </w:p>
    <w:p w:rsidR="00000000" w:rsidDel="00000000" w:rsidP="00000000" w:rsidRDefault="00000000" w:rsidRPr="00000000" w14:paraId="00000029">
      <w:pPr>
        <w:spacing w:line="276" w:lineRule="auto"/>
        <w:rPr>
          <w:rFonts w:ascii="Times New Roman" w:hAnsi="Times New Roman" w:cs="Times New Roman" w:eastAsia="나눔명조"/>
          <w:sz w:val="20"/>
          <w:szCs w:val="20"/>
        </w:rPr>
      </w:pPr>
      <w:hyperlink r:id="rId7">
        <w:r w:rsidDel="00000000" w:rsidR="00000000" w:rsidRPr="00000000">
          <w:rPr>
            <w:rFonts w:ascii="Times New Roman" w:hAnsi="Times New Roman" w:cs="Times New Roman" w:eastAsia="나눔명조"/>
            <w:sz w:val="20"/>
            <w:szCs w:val="20"/>
            <w:color w:val="1155cc"/>
            <w:u w:val="single"/>
            <w:rtl w:val="0"/>
          </w:rPr>
          <w:t xml:space="preserve">https://claude.ai/share/ae03885a-f9f4-4c6d-a1ee-6f6c49ea90f4</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0">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서론(서론은 괜찮은 거 같은데…)</w:t>
      </w:r>
    </w:p>
    <w:p w:rsidR="00000000" w:rsidDel="00000000" w:rsidP="00000000" w:rsidRDefault="00000000" w:rsidRPr="00000000" w14:paraId="0000003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1</w:t>
      </w:r>
    </w:p>
    <w:p w:rsidR="00000000" w:rsidDel="00000000" w:rsidP="00000000" w:rsidRDefault="00000000" w:rsidRPr="00000000" w14:paraId="0000003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rFonts w:ascii="Times New Roman" w:hAnsi="Times New Roman" w:cs="Times New Roman" w:eastAsia="나눔명조"/>
            <w:sz w:val="20"/>
            <w:szCs w:val="20"/>
            <w:color w:val="1155cc"/>
            <w:u w:val="single"/>
            <w:rtl w:val="0"/>
          </w:rPr>
          <w:t xml:space="preserve">https://eur-lex.europa.eu/legal-content/EN/TXT/HTML/?uri=CELEX:32023L1791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에너지 사용의 투명성이 규제 대상이 된 이상, 소비 전력과 그에 따른 탄소 배출을 줄이는 일은 운영상의 과제가 되었다.</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9">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2</w:t>
      </w:r>
    </w:p>
    <w:p w:rsidR="00000000" w:rsidDel="00000000" w:rsidP="00000000" w:rsidRDefault="00000000" w:rsidRPr="00000000" w14:paraId="0000003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"In this case, electricity demand from data centres is 20% lower in 2035 than in the Base Case."</w:t>
      </w:r>
    </w:p>
    <w:p w:rsidR="00000000" w:rsidDel="00000000" w:rsidP="00000000" w:rsidRDefault="00000000" w:rsidRPr="00000000" w14:paraId="0000003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rFonts w:ascii="Times New Roman" w:hAnsi="Times New Roman" w:cs="Times New Roman" w:eastAsia="나눔명조"/>
            <w:sz w:val="20"/>
            <w:szCs w:val="20"/>
            <w:color w:val="1155cc"/>
            <w:u w:val="single"/>
            <w:rtl w:val="0"/>
          </w:rPr>
          <w:t xml:space="preserve">https://www.gstatic.com/gumdrop/sustainability/24x7-carbon-free-energy-methodologies-metrics.pdf</w:t>
          <w:br w:type="textWrapping"/>
        </w:r>
      </w:hyperlink>
      <w:r w:rsidDel="00000000" w:rsidR="00000000" w:rsidRPr="00000000">
        <w:rPr>
          <w:rFonts w:ascii="Times New Roman" w:hAnsi="Times New Roman" w:cs="Times New Roman" w:eastAsia="나눔명조"/>
          <w:sz w:val="20"/>
          <w:szCs w:val="20"/>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3</w:t>
      </w:r>
    </w:p>
    <w:p w:rsidR="00000000" w:rsidDel="00000000" w:rsidP="00000000" w:rsidRDefault="00000000" w:rsidRPr="00000000" w14:paraId="0000004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rFonts w:ascii="Times New Roman" w:hAnsi="Times New Roman" w:cs="Times New Roman" w:eastAsia="나눔명조"/>
            <w:sz w:val="20"/>
            <w:szCs w:val="20"/>
            <w:color w:val="1155cc"/>
            <w:u w:val="single"/>
            <w:rtl w:val="0"/>
          </w:rPr>
          <w:t xml:space="preserve"> 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4 </w:t>
      </w:r>
    </w:p>
    <w:p w:rsidR="00000000" w:rsidDel="00000000" w:rsidP="00000000" w:rsidRDefault="00000000" w:rsidRPr="00000000" w14:paraId="0000005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rFonts w:ascii="Times New Roman" w:hAnsi="Times New Roman" w:cs="Times New Roman" w:eastAsia="나눔명조"/>
          <w:sz w:val="20"/>
          <w:szCs w:val="20"/>
          <w:color w:val="1155cc"/>
          <w:u w:val="single"/>
        </w:rPr>
      </w:pPr>
      <w:hyperlink r:id="rId18">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"we demonstrate a power consumption drop of 1-2% at times with the highest carbon intensity"</w:t>
      </w:r>
    </w:p>
    <w:p w:rsidR="00000000" w:rsidDel="00000000" w:rsidP="00000000" w:rsidRDefault="00000000" w:rsidRPr="00000000" w14:paraId="0000005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"which shifts datacenter computing in time and will soon also shift computing in space"</w:t>
      </w:r>
    </w:p>
    <w:p w:rsidR="00000000" w:rsidDel="00000000" w:rsidP="00000000" w:rsidRDefault="00000000" w:rsidRPr="00000000" w14:paraId="0000005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"our current work primarily focuses on exploiting spatial variations"</w:t>
      </w:r>
    </w:p>
    <w:p w:rsidR="00000000" w:rsidDel="00000000" w:rsidP="00000000" w:rsidRDefault="00000000" w:rsidRPr="00000000" w14:paraId="0000005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w:t>
        <w:br w:type="textWrapping"/>
      </w:r>
      <w:hyperlink r:id="rId2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rFonts w:ascii="Times New Roman" w:hAnsi="Times New Roman" w:cs="Times New Roman" w:eastAsia="나눔명조"/>
          <w:sz w:val="20"/>
          <w:szCs w:val="20"/>
          <w:color w:val="1155cc"/>
          <w:u w:val="single"/>
        </w:rPr>
      </w:pPr>
      <w:hyperlink r:id="rId21">
        <w:r w:rsidDel="00000000" w:rsidR="00000000" w:rsidRPr="00000000">
          <w:rPr>
            <w:rFonts w:ascii="Times New Roman" w:hAnsi="Times New Roman" w:cs="Times New Roman" w:eastAsia="나눔명조"/>
            <w:sz w:val="20"/>
            <w:szCs w:val="20"/>
            <w:color w:val="1155cc"/>
            <w:u w:val="single"/>
            <w:rtl w:val="0"/>
          </w:rPr>
          <w:t xml:space="preserve">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"α = 0.5 (equal weights)" / "results would change with other α values"</w:t>
      </w:r>
    </w:p>
    <w:p w:rsidR="00000000" w:rsidDel="00000000" w:rsidP="00000000" w:rsidRDefault="00000000" w:rsidRPr="00000000" w14:paraId="00000062">
      <w:pPr>
        <w:rPr>
          <w:rFonts w:ascii="Times New Roman" w:hAnsi="Times New Roman" w:cs="Times New Roman" w:eastAsia="나눔명조"/>
          <w:sz w:val="20"/>
          <w:szCs w:val="20"/>
          <w:color w:val="1155cc"/>
          <w:u w:val="single"/>
        </w:rPr>
      </w:pPr>
      <w:hyperlink r:id="rId22">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"The optimization outcome changes depending on the desired tradeoffs between carbon footprint and efficiency"</w:t>
      </w:r>
    </w:p>
    <w:p w:rsidR="00000000" w:rsidDel="00000000" w:rsidP="00000000" w:rsidRDefault="00000000" w:rsidRPr="00000000" w14:paraId="0000006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rFonts w:ascii="Times New Roman" w:hAnsi="Times New Roman" w:cs="Times New Roman" w:eastAsia="나눔명조"/>
          <w:sz w:val="20"/>
          <w:szCs w:val="20"/>
          <w:color w:val="1155cc"/>
          <w:u w:val="single"/>
        </w:rPr>
      </w:pPr>
      <w:hyperlink r:id="rId25">
        <w:r w:rsidDel="00000000" w:rsidR="00000000" w:rsidRPr="00000000">
          <w:rPr>
            <w:rFonts w:ascii="Times New Roman" w:hAnsi="Times New Roman" w:cs="Times New Roman" w:eastAsia="나눔명조"/>
            <w:sz w:val="20"/>
            <w:szCs w:val="20"/>
            <w:color w:val="1155cc"/>
            <w:u w:val="single"/>
            <w:rtl w:val="0"/>
          </w:rPr>
          <w:t xml:space="preserve">https://arxiv.org/abs/2505.18357</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"clusters have a capacity limit that prior work on optimizing individual jobs in the cloud does not consider."</w:t>
      </w:r>
    </w:p>
    <w:p w:rsidR="00000000" w:rsidDel="00000000" w:rsidP="00000000" w:rsidRDefault="00000000" w:rsidRPr="00000000" w14:paraId="0000006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5</w:t>
      </w:r>
    </w:p>
    <w:p w:rsidR="00000000" w:rsidDel="00000000" w:rsidP="00000000" w:rsidRDefault="00000000" w:rsidRPr="00000000" w14:paraId="0000007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기여는 다음 네 가지다.</w:t>
      </w:r>
    </w:p>
    <w:p w:rsidR="00000000" w:rsidDel="00000000" w:rsidP="00000000" w:rsidRDefault="00000000" w:rsidRPr="00000000" w14:paraId="0000007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F">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배경 지식(배경 지식은 제가 봐도 잘 모르겠네요….)</w:t>
      </w:r>
    </w:p>
    <w:p w:rsidR="00000000" w:rsidDel="00000000" w:rsidP="00000000" w:rsidRDefault="00000000" w:rsidRPr="00000000" w14:paraId="0000008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시공간적 특성</w:t>
      </w:r>
    </w:p>
    <w:p w:rsidR="00000000" w:rsidDel="00000000" w:rsidP="00000000" w:rsidRDefault="00000000" w:rsidRPr="00000000" w14:paraId="0000008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rFonts w:ascii="Times New Roman" w:hAnsi="Times New Roman" w:cs="Times New Roman" w:eastAsia="나눔명조"/>
            <w:sz w:val="20"/>
            <w:szCs w:val="20"/>
            <w:color w:val="1155cc"/>
            <w:u w:val="single"/>
            <w:rtl w:val="0"/>
          </w:rPr>
          <w:t xml:space="preserve"> https://www.electricitymaps.com/data-portal</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2">
      <w:pPr>
        <w:rPr>
          <w:rFonts w:ascii="Times New Roman" w:hAnsi="Times New Roman" w:cs="Times New Roman" w:eastAsia="나눔명조"/>
          <w:sz w:val="20"/>
          <w:szCs w:val="20"/>
        </w:rPr>
      </w:pPr>
      <w:hyperlink r:id="rId27">
        <w:r w:rsidDel="00000000" w:rsidR="00000000" w:rsidRPr="00000000">
          <w:rPr>
            <w:rFonts w:ascii="Times New Roman" w:hAnsi="Times New Roman" w:cs="Times New Roman" w:eastAsia="나눔명조"/>
            <w:sz w:val="20"/>
            <w:szCs w:val="20"/>
            <w:color w:val="1155cc"/>
            <w:u w:val="single"/>
            <w:rtl w:val="0"/>
          </w:rPr>
          <w:br w:type="textWrapping"/>
        </w:r>
      </w:hyperlink>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5000000" cy="2917000"/>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5000000" cy="291700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2. 대상 8개 리전의 시각별 평균 탄소집약도 (2025년 실측, UTC 기준, 세로축 로그 척도).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8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6">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클라우드 작업의 지연 허용도</w:t>
      </w:r>
    </w:p>
    <w:p w:rsidR="00000000" w:rsidDel="00000000" w:rsidP="00000000" w:rsidRDefault="00000000" w:rsidRPr="00000000" w14:paraId="0000008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B">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예측 가능성</w:t>
      </w:r>
    </w:p>
    <w:p w:rsidR="00000000" w:rsidDel="00000000" w:rsidP="00000000" w:rsidRDefault="00000000" w:rsidRPr="00000000" w14:paraId="0000008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rFonts w:ascii="Times New Roman" w:hAnsi="Times New Roman" w:cs="Times New Roman" w:eastAsia="나눔명조"/>
          <w:sz w:val="20"/>
          <w:szCs w:val="20"/>
        </w:rPr>
      </w:pPr>
      <w:hyperlink r:id="rId32">
        <w:r w:rsidDel="00000000" w:rsidR="00000000" w:rsidRPr="00000000">
          <w:rPr>
            <w:rFonts w:ascii="Times New Roman" w:hAnsi="Times New Roman" w:cs="Times New Roman" w:eastAsia="나눔명조"/>
            <w:sz w:val="20"/>
            <w:szCs w:val="20"/>
            <w:color w:val="1155cc"/>
            <w:u w:val="single"/>
            <w:rtl w:val="0"/>
          </w:rPr>
          <w:t xml:space="preserve">https://doi.org/10.1145/3538637.3538849</w:t>
          <w:br w:type="textWrapping"/>
        </w:r>
      </w:hyperlink>
      <w:r w:rsidDel="00000000" w:rsidR="00000000" w:rsidRPr="00000000">
        <w:rPr>
          <w:rFonts w:ascii="Times New Roman" w:hAnsi="Times New Roman" w:cs="Times New Roman" w:eastAsia="나눔명조"/>
          <w:sz w:val="20"/>
          <w:szCs w:val="20"/>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rFonts w:ascii="Times New Roman" w:hAnsi="Times New Roman" w:cs="Times New Roman" w:eastAsia="나눔명조"/>
          <w:sz w:val="20"/>
          <w:szCs w:val="20"/>
        </w:rPr>
      </w:pPr>
      <w:hyperlink r:id="rId33">
        <w:r w:rsidDel="00000000" w:rsidR="00000000" w:rsidRPr="00000000">
          <w:rPr>
            <w:rFonts w:ascii="Times New Roman" w:hAnsi="Times New Roman" w:cs="Times New Roman" w:eastAsia="나눔명조"/>
            <w:sz w:val="20"/>
            <w:szCs w:val="20"/>
            <w:color w:val="1155cc"/>
            <w:u w:val="single"/>
            <w:rtl w:val="0"/>
          </w:rPr>
          <w:t xml:space="preserve">https://doi.org/10.1145/3563357.3564079</w:t>
          <w:br w:type="textWrapping"/>
        </w:r>
      </w:hyperlink>
      <w:r w:rsidDel="00000000" w:rsidR="00000000" w:rsidRPr="00000000">
        <w:rPr>
          <w:rFonts w:ascii="Times New Roman" w:hAnsi="Times New Roman" w:cs="Times New Roman" w:eastAsia="나눔명조"/>
          <w:sz w:val="20"/>
          <w:szCs w:val="20"/>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rFonts w:ascii="Times New Roman" w:hAnsi="Times New Roman" w:cs="Times New Roman" w:eastAsia="나눔명조"/>
          <w:sz w:val="20"/>
          <w:szCs w:val="20"/>
        </w:rPr>
      </w:pPr>
      <w:hyperlink r:id="rId34">
        <w:r w:rsidDel="00000000" w:rsidR="00000000" w:rsidRPr="00000000">
          <w:rPr>
            <w:rFonts w:ascii="Times New Roman" w:hAnsi="Times New Roman" w:cs="Times New Roman" w:eastAsia="나눔명조"/>
            <w:sz w:val="20"/>
            <w:szCs w:val="20"/>
            <w:color w:val="1155cc"/>
            <w:u w:val="single"/>
            <w:rtl w:val="0"/>
          </w:rPr>
          <w:t xml:space="preserve">https://doi.org/10.1145/3607114.3607117</w:t>
          <w:br w:type="textWrapping"/>
        </w:r>
      </w:hyperlink>
      <w:r w:rsidDel="00000000" w:rsidR="00000000" w:rsidRPr="00000000">
        <w:rPr>
          <w:rFonts w:ascii="Times New Roman" w:hAnsi="Times New Roman" w:cs="Times New Roman" w:eastAsia="나눔명조"/>
          <w:sz w:val="20"/>
          <w:szCs w:val="20"/>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rFonts w:ascii="Times New Roman" w:hAnsi="Times New Roman" w:cs="Times New Roman" w:eastAsia="나눔명조"/>
          <w:sz w:val="20"/>
          <w:szCs w:val="20"/>
        </w:rPr>
      </w:pPr>
      <w:hyperlink r:id="rId35">
        <w:r w:rsidDel="00000000" w:rsidR="00000000" w:rsidRPr="00000000">
          <w:rPr>
            <w:rFonts w:ascii="Times New Roman" w:hAnsi="Times New Roman" w:cs="Times New Roman" w:eastAsia="나눔명조"/>
            <w:sz w:val="20"/>
            <w:szCs w:val="20"/>
            <w:color w:val="1155cc"/>
            <w:u w:val="single"/>
            <w:rtl w:val="0"/>
          </w:rPr>
          <w:t xml:space="preserve">https://www.electricitymaps.com/data/methodology</w:t>
          <w:br w:type="textWrapping"/>
        </w:r>
      </w:hyperlink>
      <w:r w:rsidDel="00000000" w:rsidR="00000000" w:rsidRPr="00000000">
        <w:rPr>
          <w:rFonts w:ascii="Times New Roman" w:hAnsi="Times New Roman" w:cs="Times New Roman" w:eastAsia="나눔명조"/>
          <w:sz w:val="20"/>
          <w:szCs w:val="20"/>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5200000" cy="2239000"/>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5200000" cy="223900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3. CAST 예측 모듈의 구조. 리전마다 독립된 모델을 두며, 기상 데이터가 확보된 3개 리전은 향후 24시간 기상 예보를 별도 헤드로 결합한다.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9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B">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C">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D">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F">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풀고자 하는 문제</w:t>
      </w:r>
    </w:p>
    <w:p w:rsidR="00000000" w:rsidDel="00000000" w:rsidP="00000000" w:rsidRDefault="00000000" w:rsidRPr="00000000" w14:paraId="000000B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문제 정의</w:t>
      </w:r>
    </w:p>
    <w:p w:rsidR="00000000" w:rsidDel="00000000" w:rsidP="00000000" w:rsidRDefault="00000000" w:rsidRPr="00000000" w14:paraId="000000B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제약 조건</w:t>
      </w:r>
    </w:p>
    <w:p w:rsidR="00000000" w:rsidDel="00000000" w:rsidP="00000000" w:rsidRDefault="00000000" w:rsidRPr="00000000" w14:paraId="000000B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가지 제약이 동시에 작용한다.</w:t>
      </w:r>
    </w:p>
    <w:p w:rsidR="00000000" w:rsidDel="00000000" w:rsidP="00000000" w:rsidRDefault="00000000" w:rsidRPr="00000000" w14:paraId="000000B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결정의 구조</w:t>
      </w:r>
    </w:p>
    <w:p w:rsidR="00000000" w:rsidDel="00000000" w:rsidP="00000000" w:rsidRDefault="00000000" w:rsidRPr="00000000" w14:paraId="000000B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범위</w:t>
      </w:r>
    </w:p>
    <w:p w:rsidR="00000000" w:rsidDel="00000000" w:rsidP="00000000" w:rsidRDefault="00000000" w:rsidRPr="00000000" w14:paraId="000000C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다루는 것과 다루지 않는 것을 명확히 한다.</w:t>
      </w:r>
    </w:p>
    <w:p w:rsidR="00000000" w:rsidDel="00000000" w:rsidP="00000000" w:rsidRDefault="00000000" w:rsidRPr="00000000" w14:paraId="000000C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최적화 축은 실행 리전과 실행 시각이다. 하드웨어 효율, 냉각, PUE 개선은 다루지 않는다.</w:t>
      </w:r>
    </w:p>
    <w:p w:rsidR="00000000" w:rsidDel="00000000" w:rsidP="00000000" w:rsidRDefault="00000000" w:rsidRPr="00000000" w14:paraId="000000C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5">
      <w:pPr>
        <w:spacing w:line="276" w:lineRule="auto"/>
        <w:rPr>
          <w:rFonts w:ascii="Times New Roman" w:hAnsi="Times New Roman" w:cs="Times New Roman" w:eastAsia="나눔명조"/>
          <w:sz w:val="20"/>
          <w:szCs w:val="20"/>
          <w:b w:val="1"/>
          <w:bCs w:val="1"/>
          <w:color w:val="ff000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6">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문제를 해결하려고 했던 기존 방법 + 그리고 기존 방법의 한계</w:t>
      </w:r>
    </w:p>
    <w:p w:rsidR="00000000" w:rsidDel="00000000" w:rsidP="00000000" w:rsidRDefault="00000000" w:rsidRPr="00000000" w14:paraId="000000F7">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부분에는 우리가 Sukprasert보다 더 나은 점을 찾아봐야할듯)</w:t>
      </w:r>
    </w:p>
    <w:p w:rsidR="00000000" w:rsidDel="00000000" w:rsidP="00000000" w:rsidRDefault="00000000" w:rsidRPr="00000000" w14:paraId="000000F8">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시간 축 접근</w:t>
      </w:r>
    </w:p>
    <w:p w:rsidR="00000000" w:rsidDel="00000000" w:rsidP="00000000" w:rsidRDefault="00000000" w:rsidRPr="00000000" w14:paraId="000000F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공간 축 접근</w:t>
      </w:r>
    </w:p>
    <w:p w:rsidR="00000000" w:rsidDel="00000000" w:rsidP="00000000" w:rsidRDefault="00000000" w:rsidRPr="00000000" w14:paraId="000000F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br w:type="textWrapping"/>
        </w:r>
      </w:hyperlink>
      <w:r w:rsidDel="00000000" w:rsidR="00000000" w:rsidRPr="00000000">
        <w:rPr>
          <w:rFonts w:ascii="Times New Roman" w:hAnsi="Times New Roman" w:cs="Times New Roman" w:eastAsia="나눔명조"/>
          <w:sz w:val="20"/>
          <w:szCs w:val="20"/>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두 축을 함께 다룬 분석</w:t>
      </w:r>
    </w:p>
    <w:p w:rsidR="00000000" w:rsidDel="00000000" w:rsidP="00000000" w:rsidRDefault="00000000" w:rsidRPr="00000000" w14:paraId="0000010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한계(이 부분은 다시 찾아보는 것이 좋을듯!)</w:t>
      </w:r>
    </w:p>
    <w:p w:rsidR="00000000" w:rsidDel="00000000" w:rsidP="00000000" w:rsidRDefault="00000000" w:rsidRPr="00000000" w14:paraId="0000010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"α = 0.5 (equal weights to both carbon and latency costs)" / "results would change with other α values"</w:t>
        <w:br w:type="textWrapping"/>
      </w:r>
      <w:hyperlink r:id="rId44">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원문: "The optimization outcome changes depending on the desired tradeoffs between carbon footprint and efficiency"</w:t>
      </w:r>
    </w:p>
    <w:p w:rsidR="00000000" w:rsidDel="00000000" w:rsidP="00000000" w:rsidRDefault="00000000" w:rsidRPr="00000000" w14:paraId="0000010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2">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제안하는 방법</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개요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5600000" cy="2138000"/>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5600000" cy="213800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1. CAST 시스템 구성. 예측, 공간 이동, 시간 이동의 세 단계로 구성되며 각 단계는 정해진 데이터만 주고받는다.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그림 1은 세 단계의 연결과 각 단계가 주고받는 데이터를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설계 원칙은 세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셋째, 배치 결정은 예측값으로 수행하고 배출량 산정은 실측값으로 수행한다. 예측값으로 결정하고 예측값으로 채점하면 예측 오차의 대가가 결과에서 사라진다.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표기와 형식화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목적함수는 총 배출량이다.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min  Σ_(j∈J)  P · ∫_(τ_j)^(τ_j+d_j)  C_r(j)(t) dt          … (1)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r(j)는 x_jr = 1인 리전이고 P는 작업의 소비 전력이다. 제약은 네 가지다.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Σ_(r∈R) x_jr = 1,   ∀j ∈ J          … (2)</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 { j : r(j) = r,  τ_j ≤ t &lt; τ_j + d_j } | ≤ ⌊η · cap_r⌋,   ∀r ∈ R, ∀t          … (3)</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s_j ≤ τ_j,   τ_j + d_j ≤ D_j,   ∀j ∈ J          … (4)</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(τ_j − s_j) + l_(o_j r(j)) ≤ L_j,   ∀j ∈ J          … (5)</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탄소집약도 예측</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공간 이동 — 슬롯 단위 정수 계획 라우팅</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M̃_r = Ĉ_r / max_(r′) Ĉ_(r′) ,      l̃_(or) = l_(or) / 244          … (6)</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슬롯의 배정 문제는 다음과 같다. 배치에 속한 작업을 j, 리전을 r, 배정 변수를 x_jr, 미배정 변수를 s_j로 둔다.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min  Σ_j Σ_r ( α · M̃_r + (1 − α) · l̃_(o_j r) ) · x_jr  +  P_slack · Σ_j s_j          … (7)</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s.t.   Σ_r x_jr + s_j = 1,  ∀j       Σ_j x_jr ≤ avail_r,  ∀r          … (8)</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α* = arg min_(α)  √( λ̃(α)² + μ̃(α)² ) ,   λ̃·μ̃ 는 0–1 정규화한 평균 지연과 예상 배출          … (9)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미배정이 발생하는 후보가 있으면 미배정 수가 최소인 후보들 안에서만 고르고, 거리가 같으면 작은 α를 택한다.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3400000" cy="340000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3400000" cy="340000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4. 지연과 탄소의 파레토 곡선. 고정 가중치 후보와 무릎점 자동 선택의 위치를 함께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시간 이동 — 마감 내 슬롯 선택</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후보 슬롯 t의 점수는 정규화한 탄소 비용과 지연 비용의 가중합이다.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Ĉ(t) = ( C̄(t) − C_min ) / ( C_max − C_min ) ,    D̂(t) = ( t − t_early ) / ( t_late − t_early )          … (10)</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score(t) = α(k) · Ĉ(t) + ( 1 − α(k) ) · D̂(t) ,    α(k) = (6 − k) / 5          … (11)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문단은 숨기지 말고 여기 두는 게 맞음. 검증 절에서 우리가 직접 측정한 결과를 예고하는 구조)</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 회계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rFonts w:ascii="Times New Roman" w:hAnsi="Times New Roman" w:cs="Times New Roman" w:eastAsia="나눔명조"/>
          <w:sz w:val="20"/>
          <w:szCs w:val="20"/>
          <w:i w:val="1"/>
          <w:iCs w:val="1"/>
        </w:rPr>
      </w:pPr>
      <w:r>
        <w:rPr>
          <w:rFonts w:ascii="Times New Roman" w:hAnsi="Times New Roman" w:cs="Times New Roman" w:eastAsia="나눔명조"/>
          <w:sz w:val="20"/>
          <w:szCs w:val="20"/>
          <w:i w:val="1"/>
          <w:iCs w:val="1"/>
          <w:rtl w:val="0"/>
        </w:rPr>
        <w:t xml:space="preserve">E_j = P · ∫_(τ_j)^(τ_j + d_j)  C_r(j)(t) dt          … (12)</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검증</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실험 설정</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5200000" cy="2311111"/>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5200000" cy="2311111"/>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5. 공간 이동 후 리전별 부하 분포. 탄소집약도가 낮은 리전으로 부하가 이동한다.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용량을 고려하지 않은 시간 이동의 결과</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1. 리전별 동시 실행 최대치와 상한 초과 시간 (유효 상한 12건, 연간 8,760시간 기준)</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00"/>
        <w:gridCol w:w="2000"/>
        <w:gridCol w:w="2000"/>
        <w:gridCol w:w="1800"/>
      </w:tblGrid>
      <w:tr>
        <w:tc>
          <w:tcPr>
            <w:tcW w:w="24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리전</w:t>
            </w:r>
          </w:p>
        </w:tc>
        <w:tc>
          <w:tcPr>
            <w:tcW w:w="20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공간 이동 후</w:t>
            </w:r>
          </w:p>
        </w:tc>
        <w:tc>
          <w:tcPr>
            <w:tcW w:w="20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시간 이동 후</w:t>
            </w:r>
          </w:p>
        </w:tc>
        <w:tc>
          <w:tcPr>
            <w:tcW w:w="18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초과 시간</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US-CAL-CISO</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12</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41</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866.9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FR</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12</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41</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622.4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US-NY-NYIS</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11</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20</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31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KR</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10</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19</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12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DE</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9</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20</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4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US-TEX-ERCO</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11</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18</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4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JP</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8</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15</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2 h</w:t>
            </w:r>
          </w:p>
        </w:tc>
      </w:tr>
      <w:tr>
        <w:tc>
          <w:tcPr>
            <w:tcW w:w="24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IN</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6</w:t>
            </w:r>
          </w:p>
        </w:tc>
        <w:tc>
          <w:tcPr>
            <w:tcW w:w="20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6</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0 h</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사후 용량 강제</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2. 사후 용량 강제 전후 비교</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2100"/>
        <w:gridCol w:w="2400"/>
        <w:gridCol w:w="1700"/>
      </w:tblGrid>
      <w:tr>
        <w:tc>
          <w:tcPr>
            <w:tcW w:w="30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구분</w:t>
            </w:r>
          </w:p>
        </w:tc>
        <w:tc>
          <w:tcPr>
            <w:tcW w:w="21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총 배출량</w:t>
            </w:r>
          </w:p>
        </w:tc>
        <w:tc>
          <w:tcPr>
            <w:tcW w:w="24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시간 이동의 한계 기여</w:t>
            </w:r>
          </w:p>
        </w:tc>
        <w:tc>
          <w:tcPr>
            <w:tcW w:w="17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총 절감률</w:t>
            </w:r>
          </w:p>
        </w:tc>
      </w:tr>
      <w:tr>
        <w:tc>
          <w:tcPr>
            <w:tcW w:w="30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공간 이동만</w:t>
            </w:r>
          </w:p>
        </w:tc>
        <w:tc>
          <w:tcPr>
            <w:tcW w:w="21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12,609.8 kg</w:t>
            </w:r>
          </w:p>
        </w:tc>
        <w:tc>
          <w:tcPr>
            <w:tcW w:w="24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w:t>
            </w:r>
          </w:p>
        </w:tc>
        <w:tc>
          <w:tcPr>
            <w:tcW w:w="17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−56.85%</w:t>
            </w:r>
          </w:p>
        </w:tc>
      </w:tr>
      <w:tr>
        <w:tc>
          <w:tcPr>
            <w:tcW w:w="30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시간 이동 (용량 미강제)</w:t>
            </w:r>
          </w:p>
        </w:tc>
        <w:tc>
          <w:tcPr>
            <w:tcW w:w="21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9,958.2 kg</w:t>
            </w:r>
          </w:p>
        </w:tc>
        <w:tc>
          <w:tcPr>
            <w:tcW w:w="24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−21.03%p</w:t>
            </w:r>
          </w:p>
        </w:tc>
        <w:tc>
          <w:tcPr>
            <w:tcW w:w="17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−65.93%</w:t>
            </w:r>
          </w:p>
        </w:tc>
      </w:tr>
      <w:tr>
        <w:tc>
          <w:tcPr>
            <w:tcW w:w="30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시간 이동 (사후 용량 강제)</w:t>
            </w:r>
          </w:p>
        </w:tc>
        <w:tc>
          <w:tcPr>
            <w:tcW w:w="21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11,873.0 kg</w:t>
            </w:r>
          </w:p>
        </w:tc>
        <w:tc>
          <w:tcPr>
            <w:tcW w:w="24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−5.84%p</w:t>
            </w:r>
          </w:p>
        </w:tc>
        <w:tc>
          <w:tcPr>
            <w:tcW w:w="17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−59.37%</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3. 사후 용량 강제의 리전별 분해</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600"/>
        <w:gridCol w:w="1900"/>
        <w:gridCol w:w="1200"/>
        <w:gridCol w:w="1800"/>
        <w:gridCol w:w="1800"/>
      </w:tblGrid>
      <w:tr>
        <w:tc>
          <w:tcPr>
            <w:tcW w:w="26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리전</w:t>
            </w:r>
          </w:p>
        </w:tc>
        <w:tc>
          <w:tcPr>
            <w:tcW w:w="19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되돌린 작업</w:t>
            </w:r>
          </w:p>
        </w:tc>
        <w:tc>
          <w:tcPr>
            <w:tcW w:w="12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반복</w:t>
            </w:r>
          </w:p>
        </w:tc>
        <w:tc>
          <w:tcPr>
            <w:tcW w:w="18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손실 편익</w:t>
            </w:r>
          </w:p>
        </w:tc>
        <w:tc>
          <w:tcPr>
            <w:tcW w:w="180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8"/>
                <w:szCs w:val="18"/>
                <w:b w:val="1"/>
                <w:bCs w:val="1"/>
                <w:rtl w:val="0"/>
              </w:rPr>
              <w:t xml:space="preserve">건당 평균 손실</w:t>
            </w:r>
          </w:p>
        </w:tc>
      </w:tr>
      <w:tr>
        <w:tc>
          <w:tcPr>
            <w:tcW w:w="26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US-CAL-CISO</w:t>
            </w:r>
          </w:p>
        </w:tc>
        <w:tc>
          <w:tcPr>
            <w:tcW w:w="19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16,449</w:t>
            </w:r>
          </w:p>
        </w:tc>
        <w:tc>
          <w:tcPr>
            <w:tcW w:w="12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3</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1,805.1 kg</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109.74 g</w:t>
            </w:r>
          </w:p>
        </w:tc>
      </w:tr>
      <w:tr>
        <w:tc>
          <w:tcPr>
            <w:tcW w:w="26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FR</w:t>
            </w:r>
          </w:p>
        </w:tc>
        <w:tc>
          <w:tcPr>
            <w:tcW w:w="19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13,258</w:t>
            </w:r>
          </w:p>
        </w:tc>
        <w:tc>
          <w:tcPr>
            <w:tcW w:w="12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54.3 kg</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4.10 g</w:t>
            </w:r>
          </w:p>
        </w:tc>
      </w:tr>
      <w:tr>
        <w:tc>
          <w:tcPr>
            <w:tcW w:w="2600"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나머지 6개 리전</w:t>
            </w:r>
          </w:p>
        </w:tc>
        <w:tc>
          <w:tcPr>
            <w:tcW w:w="19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1,543</w:t>
            </w:r>
          </w:p>
        </w:tc>
        <w:tc>
          <w:tcPr>
            <w:tcW w:w="12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55.4 kg</w:t>
            </w:r>
          </w:p>
        </w:tc>
        <w:tc>
          <w:tcPr>
            <w:tcW w:w="180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8"/>
                <w:szCs w:val="18"/>
                <w:rtl w:val="0"/>
              </w:rPr>
              <w:t xml:space="preserve">—</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4">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결론</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이동만으로 총 배출량이 56.85% 감소하였고, 여기에 시간 이동을 더하면 65.93%까지 감소한다. 작업 146,000건 전량이 마감 이내에 처리되어 마감 위반은 발생하지 않았다.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(수치는 M3 용량 스윕 결과 나오면 다시 볼 것. 특히 셋째 문단의 범위 표현)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나눔명조"/>
        <w:sz w:val="20"/>
        <w:szCs w:val="20"/>
      </w:rPr>
    </w:rPrDefault>
    <w:pPrDefault>
      <w:pPr>
        <w:spacing w:line="288" w:lineRule="auto" w:after="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