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KCI 등재기준 학회</w:t>
      </w:r>
    </w:p>
    <w:p w:rsidR="00000000" w:rsidDel="00000000" w:rsidP="00000000" w:rsidRDefault="00000000" w:rsidRPr="00000000" w14:paraId="0000000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정보처리학회논문지: 컴퓨터 및 통신시스템(KTCCS)</w:t>
      </w:r>
    </w:p>
    <w:p w:rsidR="00000000" w:rsidDel="00000000" w:rsidP="00000000" w:rsidRDefault="00000000" w:rsidRPr="00000000" w14:paraId="0000000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w:t>
      </w:r>
    </w:p>
    <w:p w:rsidR="00000000" w:rsidDel="00000000" w:rsidP="00000000" w:rsidRDefault="00000000" w:rsidRPr="00000000" w14:paraId="0000000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투고분야에 클라우드 컴퓨팅 등 명시되어 있음</w:t>
      </w:r>
    </w:p>
    <w:p w:rsidR="00000000" w:rsidDel="00000000" w:rsidP="00000000" w:rsidRDefault="00000000" w:rsidRPr="00000000" w14:paraId="0000000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정보과학회 컴퓨팅의 실제 논문지(KTCP)</w:t>
      </w:r>
    </w:p>
    <w:p w:rsidR="00000000" w:rsidDel="00000000" w:rsidP="00000000" w:rsidRDefault="00000000" w:rsidRPr="00000000" w14:paraId="0000000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15일)</w:t>
      </w:r>
    </w:p>
    <w:p w:rsidR="00000000" w:rsidDel="00000000" w:rsidP="00000000" w:rsidRDefault="00000000" w:rsidRPr="00000000" w14:paraId="0000000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컴퓨터 시스템의 구현, 사용분석 등을 다룬다고 함</w:t>
      </w:r>
    </w:p>
    <w:p w:rsidR="00000000" w:rsidDel="00000000" w:rsidP="00000000" w:rsidRDefault="00000000" w:rsidRPr="00000000" w14:paraId="0000000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3. 한국정보기술학회논문지(JKIIT)</w:t>
      </w:r>
    </w:p>
    <w:p w:rsidR="00000000" w:rsidDel="00000000" w:rsidP="00000000" w:rsidRDefault="00000000" w:rsidRPr="00000000" w14:paraId="0000000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말일)</w:t>
      </w:r>
    </w:p>
    <w:p w:rsidR="00000000" w:rsidDel="00000000" w:rsidP="00000000" w:rsidRDefault="00000000" w:rsidRPr="00000000" w14:paraId="000000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Impact Factor는 가장 높은데, 게재는 수월한 편(클로드 왈)</w:t>
      </w:r>
    </w:p>
    <w:p w:rsidR="00000000" w:rsidDel="00000000" w:rsidP="00000000" w:rsidRDefault="00000000" w:rsidRPr="00000000" w14:paraId="000000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4. 한국정보통신학회논문지(JKIICE)</w:t>
      </w:r>
    </w:p>
    <w:p w:rsidR="00000000" w:rsidDel="00000000" w:rsidP="00000000" w:rsidRDefault="00000000" w:rsidRPr="00000000" w14:paraId="000000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w:t>
      </w:r>
    </w:p>
    <w:p w:rsidR="00000000" w:rsidDel="00000000" w:rsidP="00000000" w:rsidRDefault="00000000" w:rsidRPr="00000000" w14:paraId="000000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네트워크 통신 색채가 있어서 리전 간 라우팅 어필하면 좋을듯</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3">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SCIE 등재 학회</w:t>
      </w:r>
    </w:p>
    <w:p w:rsidR="00000000" w:rsidDel="00000000" w:rsidP="00000000" w:rsidRDefault="00000000" w:rsidRPr="00000000" w14:paraId="000000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IEEE Access</w:t>
      </w:r>
    </w:p>
    <w:p w:rsidR="00000000" w:rsidDel="00000000" w:rsidP="00000000" w:rsidRDefault="00000000" w:rsidRPr="00000000" w14:paraId="000000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월간투고인데, 게재료가 270만원으로 비쌈</w:t>
      </w:r>
    </w:p>
    <w:p w:rsidR="00000000" w:rsidDel="00000000" w:rsidP="00000000" w:rsidRDefault="00000000" w:rsidRPr="00000000" w14:paraId="000000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JoCCASA</w:t>
      </w:r>
    </w:p>
    <w:p w:rsidR="00000000" w:rsidDel="00000000" w:rsidP="00000000" w:rsidRDefault="00000000" w:rsidRPr="00000000" w14:paraId="00000018">
      <w:pPr>
        <w:spacing w:line="276" w:lineRule="auto"/>
        <w:ind w:left="0" w:firstLine="0"/>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참고한 클로드(서론~해결하려고 했던 기존 방법)</w:t>
      </w:r>
    </w:p>
    <w:p w:rsidR="00000000" w:rsidDel="00000000" w:rsidP="00000000" w:rsidRDefault="00000000" w:rsidRPr="00000000" w14:paraId="000000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논문 작성 및 학회 검색</w:t>
      </w:r>
    </w:p>
    <w:p w:rsidR="00000000" w:rsidDel="00000000" w:rsidP="00000000" w:rsidRDefault="00000000" w:rsidRPr="00000000" w14:paraId="00000026">
      <w:pPr>
        <w:spacing w:line="276" w:lineRule="auto"/>
        <w:rPr>
          <w:rFonts w:ascii="Times New Roman" w:hAnsi="Times New Roman" w:cs="Times New Roman" w:eastAsia="나눔명조"/>
          <w:sz w:val="20"/>
          <w:szCs w:val="20"/>
        </w:rPr>
      </w:pPr>
      <w:hyperlink r:id="rId6">
        <w:r w:rsidDel="00000000" w:rsidR="00000000" w:rsidRPr="00000000">
          <w:rPr>
            <w:rFonts w:ascii="Times New Roman" w:hAnsi="Times New Roman" w:cs="Times New Roman" w:eastAsia="나눔명조"/>
            <w:sz w:val="20"/>
            <w:szCs w:val="20"/>
            <w:color w:val="1155cc"/>
            <w:u w:val="single"/>
            <w:rtl w:val="0"/>
          </w:rPr>
          <w:t xml:space="preserve">https://claude.ai/share/e6c15d1f-cfeb-4c4f-8f73-09dd89e1f3ff</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작성 검증</w:t>
      </w:r>
    </w:p>
    <w:p w:rsidR="00000000" w:rsidDel="00000000" w:rsidP="00000000" w:rsidRDefault="00000000" w:rsidRPr="00000000" w14:paraId="00000029">
      <w:pPr>
        <w:spacing w:line="276" w:lineRule="auto"/>
        <w:rPr>
          <w:rFonts w:ascii="Times New Roman" w:hAnsi="Times New Roman" w:cs="Times New Roman" w:eastAsia="나눔명조"/>
          <w:sz w:val="20"/>
          <w:szCs w:val="20"/>
        </w:rPr>
      </w:pPr>
      <w:hyperlink r:id="rId7">
        <w:r w:rsidDel="00000000" w:rsidR="00000000" w:rsidRPr="00000000">
          <w:rPr>
            <w:rFonts w:ascii="Times New Roman" w:hAnsi="Times New Roman" w:cs="Times New Roman" w:eastAsia="나눔명조"/>
            <w:sz w:val="20"/>
            <w:szCs w:val="20"/>
            <w:color w:val="1155cc"/>
            <w:u w:val="single"/>
            <w:rtl w:val="0"/>
          </w:rPr>
          <w:t xml:space="preserve">https://claude.ai/share/ae03885a-f9f4-4c6d-a1ee-6f6c49ea90f4</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sectPr>
          <w:footerReference r:id="rId45" w:type="default"/>
          <w:type w:val="nextPage"/>
          <w:pgSz w:h="16834" w:w="11909" w:orient="portrait"/>
          <w:pgMar w:bottom="1440" w:top="1440" w:left="1440" w:right="1440" w:header="720" w:footer="720"/>
          <w:cols w:num="1" w:space="425" w:equalWidth="1"/>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리전 용량 제약 하의 탄소 인지 시공간 워크로드 스케줄링</w:t>
      </w:r>
    </w:p>
    <w:p>
      <w:pPr>
        <w:rPr/>
      </w:pPr>
      <w:r>
        <w:rPr>
          <w:rtl w:val="0"/>
        </w:rPr>
      </w:r>
    </w:p>
    <w:p>
      <w:pPr>
        <w:jc w:val="center"/>
        <w:rPr>
          <w:b w:val="1"/>
          <w:bCs w:val="1"/>
          <w:sz w:val="24"/>
          <w:szCs w:val="24"/>
        </w:rPr>
      </w:pPr>
      <w:r>
        <w:rPr>
          <w:rFonts w:ascii="Times New Roman" w:hAnsi="Times New Roman" w:cs="Times New Roman" w:eastAsia="나눔명조"/>
          <w:b w:val="1"/>
          <w:bCs w:val="1"/>
          <w:sz w:val="24"/>
          <w:szCs w:val="24"/>
          <w:rtl w:val="0"/>
        </w:rPr>
        <w:t xml:space="preserve">Carbon-Aware Spatio-Temporal Workload Scheduling under Regional Capacity Constraints</w:t>
      </w:r>
    </w:p>
    <w:p>
      <w:pPr>
        <w:rPr/>
      </w:pPr>
      <w:r>
        <w:rPr>
          <w:rtl w:val="0"/>
        </w:rPr>
      </w:r>
    </w:p>
    <w:p>
      <w:pPr>
        <w:jc w:val="center"/>
        <w:rPr>
          <w:sz w:val="22"/>
          <w:szCs w:val="22"/>
        </w:rPr>
      </w:pPr>
      <w:r>
        <w:rPr>
          <w:rFonts w:ascii="Times New Roman" w:hAnsi="Times New Roman" w:cs="Times New Roman" w:eastAsia="나눔명조"/>
          <w:sz w:val="22"/>
          <w:szCs w:val="22"/>
          <w:rtl w:val="0"/>
        </w:rPr>
        <w:t xml:space="preserve">강동규 · 강희진 · 김현정 · 이종하</w:t>
      </w:r>
    </w:p>
    <w:p>
      <w:pPr>
        <w:jc w:val="center"/>
        <w:rPr>
          <w:sz w:val="16"/>
          <w:szCs w:val="16"/>
        </w:rPr>
      </w:pPr>
      <w:r>
        <w:rPr>
          <w:rFonts w:ascii="Times New Roman" w:hAnsi="Times New Roman" w:cs="Times New Roman" w:eastAsia="나눔명조"/>
          <w:sz w:val="16"/>
          <w:szCs w:val="16"/>
          <w:rtl w:val="0"/>
        </w:rPr>
        <w:t xml:space="preserve">(저자 순서와 교신저자는 팀 확정 필요. 영문 성명도 병기해야 함)</w:t>
      </w:r>
    </w:p>
    <w:p>
      <w:pPr>
        <w:rPr/>
      </w:pPr>
      <w:r>
        <w:rPr>
          <w:rtl w:val="0"/>
        </w:rPr>
      </w:r>
    </w:p>
    <w:p>
      <w:pPr>
        <w:jc w:val="center"/>
        <w:rPr>
          <w:sz w:val="18"/>
          <w:szCs w:val="18"/>
        </w:rPr>
      </w:pPr>
      <w:r>
        <w:rPr>
          <w:rFonts w:ascii="Times New Roman" w:hAnsi="Times New Roman" w:cs="Times New Roman" w:eastAsia="나눔명조"/>
          <w:sz w:val="18"/>
          <w:szCs w:val="18"/>
          <w:rtl w:val="0"/>
        </w:rPr>
        <w:t xml:space="preserve">소속 기관명 (학과·대학 채울 것)</w:t>
      </w:r>
    </w:p>
    <w:p>
      <w:pPr>
        <w:rPr/>
      </w:pPr>
      <w:r>
        <w:rPr>
          <w:rtl w:val="0"/>
        </w:rPr>
      </w:r>
    </w:p>
    <w:p>
      <w:pPr>
        <w:jc w:val="center"/>
        <w:rPr>
          <w:b w:val="1"/>
          <w:bCs w:val="1"/>
          <w:sz w:val="22"/>
          <w:szCs w:val="22"/>
        </w:rPr>
      </w:pPr>
      <w:r>
        <w:rPr>
          <w:rFonts w:ascii="Times New Roman" w:hAnsi="Times New Roman" w:cs="Times New Roman" w:eastAsia="Apple SD Gothic Neo"/>
          <w:b w:val="1"/>
          <w:bCs w:val="1"/>
          <w:sz w:val="22"/>
          <w:szCs w:val="22"/>
          <w:rtl w:val="0"/>
        </w:rPr>
        <w:t xml:space="preserve">요  약</w:t>
      </w:r>
    </w:p>
    <w:p>
      <w:pPr>
        <w:rPr>
          <w:sz w:val="18"/>
          <w:szCs w:val="18"/>
        </w:rPr>
      </w:pPr>
      <w:r>
        <w:rPr>
          <w:rFonts w:ascii="Times New Roman" w:hAnsi="Times New Roman" w:cs="Times New Roman" w:eastAsia="나눔명조"/>
          <w:sz w:val="18"/>
          <w:szCs w:val="18"/>
          <w:rtl w:val="0"/>
        </w:rPr>
        <w:t xml:space="preserve">(국문요약 자리 — 5~8문장, 250자 내외. 반드시 수치를 범위로 제시할 것: 최대 65.93%, 사후 용량 강제 시 59.37%. 큰 수만 앞세우지 말 것. advisor 설계안 오면 채움)</w:t>
      </w:r>
    </w:p>
    <w:p>
      <w:pPr>
        <w:rPr/>
      </w:pPr>
      <w:r>
        <w:rPr>
          <w:rtl w:val="0"/>
        </w:rPr>
      </w:r>
    </w:p>
    <w:p>
      <w:pPr>
        <w:rPr>
          <w:sz w:val="18"/>
          <w:szCs w:val="18"/>
        </w:rPr>
      </w:pPr>
      <w:r>
        <w:rPr>
          <w:rFonts w:ascii="Times New Roman" w:hAnsi="Times New Roman" w:cs="Times New Roman" w:eastAsia="나눔명조"/>
          <w:sz w:val="18"/>
          <w:szCs w:val="18"/>
          <w:rtl w:val="0"/>
        </w:rPr>
        <w:t xml:space="preserve">주제어 : 탄소 인지 컴퓨팅, 시공간 워크로드 이동, 리전 용량 제약, 정수 계획법, LSTM 예측</w:t>
      </w:r>
    </w:p>
    <w:p>
      <w:pPr>
        <w:rPr/>
      </w:pPr>
      <w:r>
        <w:rPr>
          <w:rtl w:val="0"/>
        </w:rPr>
      </w:r>
    </w:p>
    <w:p>
      <w:pPr>
        <w:jc w:val="center"/>
        <w:rPr>
          <w:b w:val="1"/>
          <w:bCs w:val="1"/>
          <w:sz w:val="22"/>
          <w:szCs w:val="22"/>
        </w:rPr>
      </w:pPr>
      <w:r>
        <w:rPr>
          <w:rFonts w:ascii="Times New Roman" w:hAnsi="Times New Roman" w:cs="Times New Roman" w:eastAsia="나눔명조"/>
          <w:b w:val="1"/>
          <w:bCs w:val="1"/>
          <w:sz w:val="22"/>
          <w:szCs w:val="22"/>
          <w:rtl w:val="0"/>
        </w:rPr>
        <w:t xml:space="preserve">Abstract</w:t>
      </w:r>
    </w:p>
    <w:p>
      <w:pPr>
        <w:rPr>
          <w:sz w:val="18"/>
          <w:szCs w:val="18"/>
        </w:rPr>
      </w:pPr>
      <w:r>
        <w:rPr>
          <w:rFonts w:ascii="Times New Roman" w:hAnsi="Times New Roman" w:cs="Times New Roman" w:eastAsia="나눔명조"/>
          <w:sz w:val="18"/>
          <w:szCs w:val="18"/>
          <w:rtl w:val="0"/>
        </w:rPr>
        <w:t xml:space="preserve">(영문 초록 자리 — 국문요약과 같은 구성. advisor 설계안 오면 채움)</w:t>
      </w:r>
    </w:p>
    <w:p>
      <w:pPr>
        <w:rPr/>
      </w:pPr>
      <w:r>
        <w:rPr>
          <w:rtl w:val="0"/>
        </w:rPr>
      </w:r>
    </w:p>
    <w:p>
      <w:pPr>
        <w:rPr>
          <w:sz w:val="18"/>
          <w:szCs w:val="18"/>
        </w:rPr>
      </w:pPr>
      <w:r>
        <w:rPr>
          <w:rFonts w:ascii="Times New Roman" w:hAnsi="Times New Roman" w:cs="Times New Roman" w:eastAsia="나눔명조"/>
          <w:sz w:val="18"/>
          <w:szCs w:val="18"/>
          <w:rtl w:val="0"/>
        </w:rPr>
        <w:t xml:space="preserve">Keywords : carbon-aware computing, spatio-temporal workload shifting, regional capacity constraint, integer linear programming, LSTM forecasting</w:t>
      </w:r>
    </w:p>
    <w:p>
      <w:pPr>
        <w:rPr/>
      </w:pPr>
      <w:r>
        <w:rPr>
          <w:rtl w:val="0"/>
        </w:rPr>
      </w:r>
    </w:p>
    <w:p>
      <w:pPr>
        <w:sectPr>
          <w:footerReference r:id="rId45" w:type="default"/>
          <w:type w:val="continuous"/>
          <w:pgSz w:h="16834" w:w="11909" w:orient="portrait"/>
          <w:pgMar w:bottom="1440" w:top="1440" w:left="1440" w:right="1440" w:header="720" w:footer="720"/>
          <w:cols w:num="1" w:space="425" w:equalWidth="1"/>
        </w:sectPr>
      </w:pPr>
    </w:p>
    <w:p w:rsidR="00000000" w:rsidDel="00000000" w:rsidP="00000000" w:rsidRDefault="00000000" w:rsidRPr="00000000" w14:paraId="00000030">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서론(서론은 괜찮은 거 같은데…)</w:t>
      </w:r>
    </w:p>
    <w:p w:rsidR="00000000" w:rsidDel="00000000" w:rsidP="00000000" w:rsidRDefault="00000000" w:rsidRPr="00000000" w14:paraId="0000003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1</w:t>
      </w:r>
    </w:p>
    <w:p w:rsidR="00000000" w:rsidDel="00000000" w:rsidP="00000000" w:rsidRDefault="00000000" w:rsidRPr="00000000" w14:paraId="0000003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rFonts w:ascii="Times New Roman" w:hAnsi="Times New Roman" w:cs="Times New Roman" w:eastAsia="나눔명조"/>
            <w:sz w:val="20"/>
            <w:szCs w:val="20"/>
            <w:color w:val="1155cc"/>
            <w:u w:val="single"/>
            <w:rtl w:val="0"/>
          </w:rPr>
          <w:t xml:space="preserve">https://eur-lex.europa.eu/legal-content/EN/TXT/HTML/?uri=CELEX:32023L1791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에너지 사용의 투명성이 규제 대상이 된 이상, 소비 전력과 그에 따른 탄소 배출을 줄이는 일은 운영상의 과제가 되었다.</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9">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2</w:t>
      </w:r>
    </w:p>
    <w:p w:rsidR="00000000" w:rsidDel="00000000" w:rsidP="00000000" w:rsidRDefault="00000000" w:rsidRPr="00000000" w14:paraId="0000003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"In this case, electricity demand from data centres is 20% lower in 2035 than in the Base Case."</w:t>
      </w:r>
    </w:p>
    <w:p w:rsidR="00000000" w:rsidDel="00000000" w:rsidP="00000000" w:rsidRDefault="00000000" w:rsidRPr="00000000" w14:paraId="0000003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rFonts w:ascii="Times New Roman" w:hAnsi="Times New Roman" w:cs="Times New Roman" w:eastAsia="나눔명조"/>
            <w:sz w:val="20"/>
            <w:szCs w:val="20"/>
            <w:color w:val="1155cc"/>
            <w:u w:val="single"/>
            <w:rtl w:val="0"/>
          </w:rPr>
          <w:t xml:space="preserve">https://www.gstatic.com/gumdrop/sustainability/24x7-carbon-free-energy-methodologies-metrics.pdf</w:t>
          <w:br w:type="textWrapping"/>
        </w:r>
      </w:hyperlink>
      <w:r w:rsidDel="00000000" w:rsidR="00000000" w:rsidRPr="00000000">
        <w:rPr>
          <w:rFonts w:ascii="Times New Roman" w:hAnsi="Times New Roman" w:cs="Times New Roman" w:eastAsia="나눔명조"/>
          <w:sz w:val="20"/>
          <w:szCs w:val="20"/>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3</w:t>
      </w:r>
    </w:p>
    <w:p w:rsidR="00000000" w:rsidDel="00000000" w:rsidP="00000000" w:rsidRDefault="00000000" w:rsidRPr="00000000" w14:paraId="0000004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rFonts w:ascii="Times New Roman" w:hAnsi="Times New Roman" w:cs="Times New Roman" w:eastAsia="나눔명조"/>
            <w:sz w:val="20"/>
            <w:szCs w:val="20"/>
            <w:color w:val="1155cc"/>
            <w:u w:val="single"/>
            <w:rtl w:val="0"/>
          </w:rPr>
          <w:t xml:space="preserve"> 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대상으로 삼은 8개 리전에서도 유사한 규모의 격차가 관측되었다.</w:t>
        <w:br w:type="textWrapping"/>
        <w:t xml:space="preserve"> 2025년 실측 기준 연평균 탄소집약도는 인도가 542.9 gCO₂/kWh, 프랑스가 13.5 gCO₂/kWh로 40.1배의 공간적 격차를 보인다. 시간적으로는 리전 내 하루 최댓값과 최솟값의 비가 캘리포니아 3.58배, 독일 2.41배, 프랑스 2.33배, 텍사스 1.79배로 나타나며, 한국 1.17배와 뉴욕 1.14배처럼 변동이 작은 리전도 있다.</w:t>
      </w:r>
    </w:p>
    <w:p w:rsidR="00000000" w:rsidDel="00000000" w:rsidP="00000000" w:rsidRDefault="00000000" w:rsidRPr="00000000" w14:paraId="0000004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4 </w:t>
      </w:r>
    </w:p>
    <w:p w:rsidR="00000000" w:rsidDel="00000000" w:rsidP="00000000" w:rsidRDefault="00000000" w:rsidRPr="00000000" w14:paraId="0000005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시스템 구현 연구는 대체로 두 축 중 하나에 집중해 왔고, 두 축을 함께 다룬 분석 연구는 특정 가정 아래 결론을 내렸다. 선행 문헌 검토는 28편의 관련 연구 가운데 공간과 시간을 함께 고려한 것이 11편이며, 그중 결합 최적화 알고리즘을 제시한 것은 2편에 그친다고 보고한다. https://doi.org/10.3390/su17146433 — Asadov, Coroamă, Franzil, Galantino, Finkbeiner, Sustainability 17(14):6433, 2025 — 원문: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rsidR="00000000" w:rsidDel="00000000" w:rsidP="00000000" w:rsidRDefault="00000000" w:rsidRPr="00000000" w14:paraId="0000005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rFonts w:ascii="Times New Roman" w:hAnsi="Times New Roman" w:cs="Times New Roman" w:eastAsia="나눔명조"/>
          <w:sz w:val="20"/>
          <w:szCs w:val="20"/>
          <w:color w:val="1155cc"/>
          <w:u w:val="single"/>
        </w:rPr>
      </w:pPr>
      <w:hyperlink r:id="rId18">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"we demonstrate a power consumption drop of 1-2% at times with the highest carbon intensity"</w:t>
      </w:r>
    </w:p>
    <w:p w:rsidR="00000000" w:rsidDel="00000000" w:rsidP="00000000" w:rsidRDefault="00000000" w:rsidRPr="00000000" w14:paraId="0000005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"which shifts datacenter computing in time and will soon also shift computing in space"</w:t>
      </w:r>
    </w:p>
    <w:p w:rsidR="00000000" w:rsidDel="00000000" w:rsidP="00000000" w:rsidRDefault="00000000" w:rsidRPr="00000000" w14:paraId="0000005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"our current work primarily focuses on exploiting spatial variations"</w:t>
      </w:r>
    </w:p>
    <w:p w:rsidR="00000000" w:rsidDel="00000000" w:rsidP="00000000" w:rsidRDefault="00000000" w:rsidRPr="00000000" w14:paraId="0000005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w:t>
        <w:br w:type="textWrapping"/>
      </w:r>
      <w:hyperlink r:id="rId2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rFonts w:ascii="Times New Roman" w:hAnsi="Times New Roman" w:cs="Times New Roman" w:eastAsia="나눔명조"/>
          <w:sz w:val="20"/>
          <w:szCs w:val="20"/>
          <w:color w:val="1155cc"/>
          <w:u w:val="single"/>
        </w:rPr>
      </w:pPr>
      <w:hyperlink r:id="rId21">
        <w:r w:rsidDel="00000000" w:rsidR="00000000" w:rsidRPr="00000000">
          <w:rPr>
            <w:rFonts w:ascii="Times New Roman" w:hAnsi="Times New Roman" w:cs="Times New Roman" w:eastAsia="나눔명조"/>
            <w:sz w:val="20"/>
            <w:szCs w:val="20"/>
            <w:color w:val="1155cc"/>
            <w:u w:val="single"/>
            <w:rtl w:val="0"/>
          </w:rPr>
          <w:t xml:space="preserve">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"α = 0.5 (equal weights)" / "results would change with other α values"</w:t>
      </w:r>
    </w:p>
    <w:p w:rsidR="00000000" w:rsidDel="00000000" w:rsidP="00000000" w:rsidRDefault="00000000" w:rsidRPr="00000000" w14:paraId="00000062">
      <w:pPr>
        <w:rPr>
          <w:rFonts w:ascii="Times New Roman" w:hAnsi="Times New Roman" w:cs="Times New Roman" w:eastAsia="나눔명조"/>
          <w:sz w:val="20"/>
          <w:szCs w:val="20"/>
          <w:color w:val="1155cc"/>
          <w:u w:val="single"/>
        </w:rPr>
      </w:pPr>
      <w:hyperlink r:id="rId22">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"The optimization outcome changes depending on the desired tradeoffs between carbon footprint and efficiency"</w:t>
      </w:r>
    </w:p>
    <w:p w:rsidR="00000000" w:rsidDel="00000000" w:rsidP="00000000" w:rsidRDefault="00000000" w:rsidRPr="00000000" w14:paraId="0000006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유한하고 여유율 제약으로 공간 이동이 조기에 포화되는 조건에서는 부하가 고변동 리전까지 확산되어 이 예외가 일반적 상황이 될 수 있다. (⚠ 이 가설은 용량 스윕 중간 결과와 방향이 반대로 나오는 중임. C=16에서 시간 이동 기여 5.84%p, C=64에서 20.30%p — 용량을 조일수록 오히려 줄어듦. M3 잔여 4점 나오면 이 문단 전체를 다시 쓸 것. 원인 추정: 이질 용량을 뺀 탓에 "캘리포니아만 상대적으로 여유롭다"는 전제가 사라짐)</w:t>
        <w:br w:type="textWrapping"/>
      </w:r>
      <w:hyperlink r:id="rId24">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rFonts w:ascii="Times New Roman" w:hAnsi="Times New Roman" w:cs="Times New Roman" w:eastAsia="나눔명조"/>
          <w:sz w:val="20"/>
          <w:szCs w:val="20"/>
          <w:color w:val="1155cc"/>
          <w:u w:val="single"/>
        </w:rPr>
      </w:pPr>
      <w:hyperlink r:id="rId25">
        <w:r w:rsidDel="00000000" w:rsidR="00000000" w:rsidRPr="00000000">
          <w:rPr>
            <w:rFonts w:ascii="Times New Roman" w:hAnsi="Times New Roman" w:cs="Times New Roman" w:eastAsia="나눔명조"/>
            <w:sz w:val="20"/>
            <w:szCs w:val="20"/>
            <w:color w:val="1155cc"/>
            <w:u w:val="single"/>
            <w:rtl w:val="0"/>
          </w:rPr>
          <w:t xml:space="preserve">https://arxiv.org/abs/2505.18357</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"clusters have a capacity limit that prior work on optimizing individual jobs in the cloud does not consider."</w:t>
      </w:r>
    </w:p>
    <w:p w:rsidR="00000000" w:rsidDel="00000000" w:rsidP="00000000" w:rsidRDefault="00000000" w:rsidRPr="00000000" w14:paraId="0000006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리전별 용량이 유한하고 여유율 제약이 존재하는 조건에서 공간과 시간 이동을 결합하여, 두 축의 결합 효과를 재검토한다.</w:t>
      </w:r>
    </w:p>
    <w:p w:rsidR="00000000" w:rsidDel="00000000" w:rsidP="00000000" w:rsidRDefault="00000000" w:rsidRPr="00000000" w14:paraId="0000007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5</w:t>
      </w:r>
    </w:p>
    <w:p w:rsidR="00000000" w:rsidDel="00000000" w:rsidP="00000000" w:rsidRDefault="00000000" w:rsidRPr="00000000" w14:paraId="0000007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기여는 다음 네 가지다.</w:t>
      </w:r>
    </w:p>
    <w:p w:rsidR="00000000" w:rsidDel="00000000" w:rsidP="00000000" w:rsidRDefault="00000000" w:rsidRPr="00000000" w14:paraId="0000007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공간 이동과 시간 이동을 단일 파이프라인으로 결합하고, 두 축의 절감 효과가 누적됨을 1년치 실측 데이터로 확인했다.</w:t>
      </w:r>
    </w:p>
    <w:p w:rsidR="00000000" w:rsidDel="00000000" w:rsidP="00000000" w:rsidRDefault="00000000" w:rsidRPr="00000000" w14:paraId="0000007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공간 축의 탄소–지연 가중치를 매 슬롯 파레토 무릎점으로 자동 결정하고, 시간 축의 가중치는 작업이 신고한 지연 등급의 함수로 정의한다.</w:t>
      </w:r>
    </w:p>
    <w:p w:rsidR="00000000" w:rsidDel="00000000" w:rsidP="00000000" w:rsidRDefault="00000000" w:rsidRPr="00000000" w14:paraId="0000007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시간 이동 단계가 리전 용량을 고려하지 않을 때 특정 리전에 실행이 집중되는 현상을 실측했다. 공간 이동만 적용한 상태에서는 8개 리전 전부가 여유율 상한인 동시 실행 12건 이하를 유지하나, 시간 이동을 적용하면 프랑스와 캘리포니아에서 동시 실행 수가 41건으로 상한의 3.4배에 이르며 연중 각각 622시간과 867시간 동안 상한을 초과한다. 선행 연구는 이 현상을 단일 클러스터 맥락에서 지적하였으나 정량화하지 않았다. 해당 서술이 근거로 인용하는 문헌은 운영체제 커널의 프로세스 동기화를 다룬 1990년 연구다. 같은 연구는 클러스터 용량 한도를 세 수준으로 변화시켜 실험하나 그 대상은 단일 클러스터이며 리전 간 공간 이동을 다루지 않는다. https://arxiv.org/abs/2505.18357 — 원문: "Considering a capacity limit is important to avoid a 'thundering herd' problem where all jobs defer their execution to the same low-carbon time and potentially exceed the cluster's capacity." </w:t>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넷째, 배치 결정은 예측값으로 수행하되 배출량 산정은 실측값으로 하여, 예측 오차의 대가가 결과에 반영되도록 했다.</w:t>
      </w:r>
    </w:p>
    <w:p w:rsidR="00000000" w:rsidDel="00000000" w:rsidP="00000000" w:rsidRDefault="00000000" w:rsidRPr="00000000" w14:paraId="0000007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1년치 실측 탄소집약도 데이터를 사용한 시뮬레이션에서 총 배출량이 최대 65.93% 감소하였다. 다만 이 값은 시간 이동 단계가 리전 용량을 지키지 않은 조건에서 얻어진 것이다. 배치가 결정된 뒤에 용량을 사후에 강제하면 59.37%가 되며, 실현 가능한 절감은 이 두 값 사이에 있다. 작업 146,000건 전량이 마감 이내에 처리되어 마감 위반은 발생하지 않았다. (스케줄러에도 용량 제약을 넣어야 하는데 코드 수정은 일단 하지 않기로 함. 향후 과제로 뺄 것)</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F">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배경 지식(배경 지식은 제가 봐도 잘 모르겠네요….)</w:t>
      </w:r>
    </w:p>
    <w:p w:rsidR="00000000" w:rsidDel="00000000" w:rsidP="00000000" w:rsidRDefault="00000000" w:rsidRPr="00000000" w14:paraId="0000008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탄소집약도의 시공간적 특성</w:t>
      </w:r>
    </w:p>
    <w:p w:rsidR="00000000" w:rsidDel="00000000" w:rsidP="00000000" w:rsidRDefault="00000000" w:rsidRPr="00000000" w14:paraId="0000008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rFonts w:ascii="Times New Roman" w:hAnsi="Times New Roman" w:cs="Times New Roman" w:eastAsia="나눔명조"/>
            <w:sz w:val="20"/>
            <w:szCs w:val="20"/>
            <w:color w:val="1155cc"/>
            <w:u w:val="single"/>
            <w:rtl w:val="0"/>
          </w:rPr>
          <w:t xml:space="preserve"> https://www.electricitymaps.com/data-portal</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2">
      <w:pPr>
        <w:rPr>
          <w:rFonts w:ascii="Times New Roman" w:hAnsi="Times New Roman" w:cs="Times New Roman" w:eastAsia="나눔명조"/>
          <w:sz w:val="20"/>
          <w:szCs w:val="20"/>
        </w:rPr>
      </w:pPr>
      <w:hyperlink r:id="rId27">
        <w:r w:rsidDel="00000000" w:rsidR="00000000" w:rsidRPr="00000000">
          <w:rPr>
            <w:rFonts w:ascii="Times New Roman" w:hAnsi="Times New Roman" w:cs="Times New Roman" w:eastAsia="나눔명조"/>
            <w:sz w:val="20"/>
            <w:szCs w:val="20"/>
            <w:color w:val="1155cc"/>
            <w:u w:val="single"/>
            <w:rtl w:val="0"/>
          </w:rPr>
          <w:br w:type="textWrapping"/>
        </w:r>
      </w:hyperlink>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CASTF1"/>
                    <a:stretch>
                      <a:fillRect/>
                    </a:stretch>
                  </pic:blipFill>
                  <pic:spPr>
                    <a:xfrm>
                      <a:off x="0" y="0"/>
                      <a:ext cx="2651760" cy="154703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2. 대상 8개 리전의 시각별 평균 탄소집약도 (2025년 실측, UTC 기준, 세로축 로그 척도).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8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2는</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6">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클라우드 작업의 지연 허용도</w:t>
      </w:r>
    </w:p>
    <w:p w:rsidR="00000000" w:rsidDel="00000000" w:rsidP="00000000" w:rsidRDefault="00000000" w:rsidRPr="00000000" w14:paraId="0000008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B">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탄소집약도의 예측 가능성</w:t>
      </w:r>
    </w:p>
    <w:p w:rsidR="00000000" w:rsidDel="00000000" w:rsidP="00000000" w:rsidRDefault="00000000" w:rsidRPr="00000000" w14:paraId="0000008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rFonts w:ascii="Times New Roman" w:hAnsi="Times New Roman" w:cs="Times New Roman" w:eastAsia="나눔명조"/>
          <w:sz w:val="20"/>
          <w:szCs w:val="20"/>
        </w:rPr>
      </w:pPr>
      <w:hyperlink r:id="rId32">
        <w:r w:rsidDel="00000000" w:rsidR="00000000" w:rsidRPr="00000000">
          <w:rPr>
            <w:rFonts w:ascii="Times New Roman" w:hAnsi="Times New Roman" w:cs="Times New Roman" w:eastAsia="나눔명조"/>
            <w:sz w:val="20"/>
            <w:szCs w:val="20"/>
            <w:color w:val="1155cc"/>
            <w:u w:val="single"/>
            <w:rtl w:val="0"/>
          </w:rPr>
          <w:t xml:space="preserve">https://doi.org/10.1145/3538637.3538849</w:t>
          <w:br w:type="textWrapping"/>
        </w:r>
      </w:hyperlink>
      <w:r w:rsidDel="00000000" w:rsidR="00000000" w:rsidRPr="00000000">
        <w:rPr>
          <w:rFonts w:ascii="Times New Roman" w:hAnsi="Times New Roman" w:cs="Times New Roman" w:eastAsia="나눔명조"/>
          <w:sz w:val="20"/>
          <w:szCs w:val="20"/>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rFonts w:ascii="Times New Roman" w:hAnsi="Times New Roman" w:cs="Times New Roman" w:eastAsia="나눔명조"/>
          <w:sz w:val="20"/>
          <w:szCs w:val="20"/>
        </w:rPr>
      </w:pPr>
      <w:hyperlink r:id="rId33">
        <w:r w:rsidDel="00000000" w:rsidR="00000000" w:rsidRPr="00000000">
          <w:rPr>
            <w:rFonts w:ascii="Times New Roman" w:hAnsi="Times New Roman" w:cs="Times New Roman" w:eastAsia="나눔명조"/>
            <w:sz w:val="20"/>
            <w:szCs w:val="20"/>
            <w:color w:val="1155cc"/>
            <w:u w:val="single"/>
            <w:rtl w:val="0"/>
          </w:rPr>
          <w:t xml:space="preserve">https://doi.org/10.1145/3563357.3564079</w:t>
          <w:br w:type="textWrapping"/>
        </w:r>
      </w:hyperlink>
      <w:r w:rsidDel="00000000" w:rsidR="00000000" w:rsidRPr="00000000">
        <w:rPr>
          <w:rFonts w:ascii="Times New Roman" w:hAnsi="Times New Roman" w:cs="Times New Roman" w:eastAsia="나눔명조"/>
          <w:sz w:val="20"/>
          <w:szCs w:val="20"/>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rFonts w:ascii="Times New Roman" w:hAnsi="Times New Roman" w:cs="Times New Roman" w:eastAsia="나눔명조"/>
          <w:sz w:val="20"/>
          <w:szCs w:val="20"/>
        </w:rPr>
      </w:pPr>
      <w:hyperlink r:id="rId34">
        <w:r w:rsidDel="00000000" w:rsidR="00000000" w:rsidRPr="00000000">
          <w:rPr>
            <w:rFonts w:ascii="Times New Roman" w:hAnsi="Times New Roman" w:cs="Times New Roman" w:eastAsia="나눔명조"/>
            <w:sz w:val="20"/>
            <w:szCs w:val="20"/>
            <w:color w:val="1155cc"/>
            <w:u w:val="single"/>
            <w:rtl w:val="0"/>
          </w:rPr>
          <w:t xml:space="preserve">https://doi.org/10.1145/3607114.3607117</w:t>
          <w:br w:type="textWrapping"/>
        </w:r>
      </w:hyperlink>
      <w:r w:rsidDel="00000000" w:rsidR="00000000" w:rsidRPr="00000000">
        <w:rPr>
          <w:rFonts w:ascii="Times New Roman" w:hAnsi="Times New Roman" w:cs="Times New Roman" w:eastAsia="나눔명조"/>
          <w:sz w:val="20"/>
          <w:szCs w:val="20"/>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rFonts w:ascii="Times New Roman" w:hAnsi="Times New Roman" w:cs="Times New Roman" w:eastAsia="나눔명조"/>
          <w:sz w:val="20"/>
          <w:szCs w:val="20"/>
        </w:rPr>
      </w:pPr>
      <w:hyperlink r:id="rId35">
        <w:r w:rsidDel="00000000" w:rsidR="00000000" w:rsidRPr="00000000">
          <w:rPr>
            <w:rFonts w:ascii="Times New Roman" w:hAnsi="Times New Roman" w:cs="Times New Roman" w:eastAsia="나눔명조"/>
            <w:sz w:val="20"/>
            <w:szCs w:val="20"/>
            <w:color w:val="1155cc"/>
            <w:u w:val="single"/>
            <w:rtl w:val="0"/>
          </w:rPr>
          <w:t xml:space="preserve">https://www.electricitymaps.com/data/methodology</w:t>
          <w:br w:type="textWrapping"/>
        </w:r>
      </w:hyperlink>
      <w:r w:rsidDel="00000000" w:rsidR="00000000" w:rsidRPr="00000000">
        <w:rPr>
          <w:rFonts w:ascii="Times New Roman" w:hAnsi="Times New Roman" w:cs="Times New Roman" w:eastAsia="나눔명조"/>
          <w:sz w:val="20"/>
          <w:szCs w:val="20"/>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CASTF2"/>
                    <a:stretch>
                      <a:fillRect/>
                    </a:stretch>
                  </pic:blipFill>
                  <pic:spPr>
                    <a:xfrm>
                      <a:off x="0" y="0"/>
                      <a:ext cx="2651760" cy="114178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3. CAST 예측 모듈의 구조. 리전마다 독립된 모델을 두며, 기상 데이터가 확보된 3개 리전은 향후 24시간 기상 예보를 별도 헤드로 결합한다.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9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3과 같이</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B">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C">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D">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F">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풀고자 하는 문제</w:t>
      </w:r>
    </w:p>
    <w:p w:rsidR="00000000" w:rsidDel="00000000" w:rsidP="00000000" w:rsidRDefault="00000000" w:rsidRPr="00000000" w14:paraId="000000B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문제 정의</w:t>
      </w:r>
    </w:p>
    <w:p w:rsidR="00000000" w:rsidDel="00000000" w:rsidP="00000000" w:rsidRDefault="00000000" w:rsidRPr="00000000" w14:paraId="000000B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제약 조건</w:t>
      </w:r>
    </w:p>
    <w:p w:rsidR="00000000" w:rsidDel="00000000" w:rsidP="00000000" w:rsidRDefault="00000000" w:rsidRPr="00000000" w14:paraId="000000B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가지 제약이 동시에 작용한다.</w:t>
      </w:r>
    </w:p>
    <w:p w:rsidR="00000000" w:rsidDel="00000000" w:rsidP="00000000" w:rsidRDefault="00000000" w:rsidRPr="00000000" w14:paraId="000000B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결정의 구조</w:t>
      </w:r>
    </w:p>
    <w:p w:rsidR="00000000" w:rsidDel="00000000" w:rsidP="00000000" w:rsidRDefault="00000000" w:rsidRPr="00000000" w14:paraId="000000B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범위</w:t>
      </w:r>
    </w:p>
    <w:p w:rsidR="00000000" w:rsidDel="00000000" w:rsidP="00000000" w:rsidRDefault="00000000" w:rsidRPr="00000000" w14:paraId="000000C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다루는 것과 다루지 않는 것을 명확히 한다.</w:t>
      </w:r>
    </w:p>
    <w:p w:rsidR="00000000" w:rsidDel="00000000" w:rsidP="00000000" w:rsidRDefault="00000000" w:rsidRPr="00000000" w14:paraId="000000C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최적화 축은 실행 리전과 실행 시각이다. 하드웨어 효율, 냉각, PUE 개선은 다루지 않는다.</w:t>
      </w:r>
    </w:p>
    <w:p w:rsidR="00000000" w:rsidDel="00000000" w:rsidP="00000000" w:rsidRDefault="00000000" w:rsidRPr="00000000" w14:paraId="000000C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5">
      <w:pPr>
        <w:spacing w:line="276" w:lineRule="auto"/>
        <w:rPr>
          <w:rFonts w:ascii="Times New Roman" w:hAnsi="Times New Roman" w:cs="Times New Roman" w:eastAsia="나눔명조"/>
          <w:sz w:val="20"/>
          <w:szCs w:val="20"/>
          <w:b w:val="1"/>
          <w:bCs w:val="1"/>
          <w:color w:val="ff000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6">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이 문제를 해결하려고 했던 기존 방법 + 그리고 기존 방법의 한계</w:t>
      </w:r>
    </w:p>
    <w:p w:rsidR="00000000" w:rsidDel="00000000" w:rsidP="00000000" w:rsidRDefault="00000000" w:rsidRPr="00000000" w14:paraId="000000F7">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(이 부분에는 우리가 Sukprasert보다 더 나은 점을 찾아봐야할듯)</w:t>
      </w:r>
    </w:p>
    <w:p w:rsidR="00000000" w:rsidDel="00000000" w:rsidP="00000000" w:rsidRDefault="00000000" w:rsidRPr="00000000" w14:paraId="000000F8">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시간 축 접근</w:t>
      </w:r>
    </w:p>
    <w:p w:rsidR="00000000" w:rsidDel="00000000" w:rsidP="00000000" w:rsidRDefault="00000000" w:rsidRPr="00000000" w14:paraId="000000F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공간 축 접근</w:t>
      </w:r>
    </w:p>
    <w:p w:rsidR="00000000" w:rsidDel="00000000" w:rsidP="00000000" w:rsidRDefault="00000000" w:rsidRPr="00000000" w14:paraId="000000F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br w:type="textWrapping"/>
        </w:r>
      </w:hyperlink>
      <w:r w:rsidDel="00000000" w:rsidR="00000000" w:rsidRPr="00000000">
        <w:rPr>
          <w:rFonts w:ascii="Times New Roman" w:hAnsi="Times New Roman" w:cs="Times New Roman" w:eastAsia="나눔명조"/>
          <w:sz w:val="20"/>
          <w:szCs w:val="20"/>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두 축을 함께 다룬 분석</w:t>
      </w:r>
    </w:p>
    <w:p w:rsidR="00000000" w:rsidDel="00000000" w:rsidP="00000000" w:rsidRDefault="00000000" w:rsidRPr="00000000" w14:paraId="0000010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같은 가정과 같은 결론이 2년 뒤에도 반복된다. Attenni 등은 Azure와 AWS의 4~5개 리전을 대상으로 사계절 각 1주일 구간에서 공간 이동과 시간 이동을 결합하여 분석하였다. 이 연구는 탄소뿐 아니라 물 사용과 토지 사용까지 목적 축에 포함한다는 점에서 범위가 더 넓다. 예측 오차는 실측 계열에 노이즈를 주입하여 모사하고 그에 대한 민감도 분석을 수행한다. 그럼에도 두 축을 결합한 결론은 앞의 연구와 같다. https://arxiv.org/abs/2512.08725 — Attenni, Moawad, Bartolini, Thamsen, arXiv:2512.08725, 2025년 12월 투고, 2026년 3월 개정 — 원문: "When applied together, the two strategies yield the greatest overall reduction, driven mainly by spatial shifting with temporal adjustments providing an additional, incremental benefit." — 원문: "Sensitivity analysis demonstrates that such shifting is robust to prediction errors in grid mix data and to variations across different seasons." 본 연구는 8개 리전의 1년 연속 데이터를 사용한다.</w:t>
      </w:r>
    </w:p>
    <w:p w:rsidR="00000000" w:rsidDel="00000000" w:rsidP="00000000" w:rsidRDefault="00000000" w:rsidRPr="00000000" w14:paraId="0000010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한계(이 부분은 다시 찾아보는 것이 좋을듯!)</w:t>
      </w:r>
    </w:p>
    <w:p w:rsidR="00000000" w:rsidDel="00000000" w:rsidP="00000000" w:rsidRDefault="00000000" w:rsidRPr="00000000" w14:paraId="0000010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이는 한 연구에 국한된 현상이 아니다. 2년 뒤 발표된 Attenni 등의 시공간 결합 연구도 자원이 항상 가용하다고 가정하며, 저자들은 이를 타당성 위협 절에서 스스로 밝히고 있다. https://arxiv.org/abs/2512.08725 — 원문: "Resource availability. We assume that there are always resources available, which might not be true in reality. However, considering the promise of elastic scalability of public cloud providers and general availability of surplus “spot” resources, this appears to be a sensible assumption."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방어는 두 가지 이유로 뒷받침되지 않는다. 첫째, 탄력적 확장성과 spot 잉여 자원은 클라우드 전체가 집계 수준에서 갖는 성질이지 특정 시각의 특정 리전이 갖는 성질이 아니다. 탄소 인지 스케줄링이 만들어내는 것은 정확히 그 반대, 곧 저탄소 시간대의 특정 리전으로의 수요 집중이다. 즉 이 방어가 전제하는 잉여를, 이 방어가 옹호하는 기법이 스스로 소진시킨다. 둘째, 해당 방어 문장에는 인용이 붙어 있지 않으며 탄력적 확장성과 spot 자원이라는 용어는 그 논문의 다른 어느 곳에도 다시 등장하지 않는다. 본 연구가 검증 절에서 측정한 캘리포니아의 19시부터 21시까지의 집중이 바로 이 반박이 예측하는 현상이다.</w:t>
      </w:r>
    </w:p>
    <w:p w:rsidR="00000000" w:rsidDel="00000000" w:rsidP="00000000" w:rsidRDefault="00000000" w:rsidRPr="00000000" w14:paraId="0000010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유한하고 여유율 제약으로 공간 이동이 조기에 포화되면 부하가 고변동 리전까지 확산되므로, 이 예외가 일반적 상황이 될 수 있다.</w:t>
        <w:br w:type="textWrapping"/>
      </w:r>
      <w:hyperlink r:id="rId42">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"α = 0.5 (equal weights to both carbon and latency costs)" / "results would change with other α values"</w:t>
        <w:br w:type="textWrapping"/>
      </w:r>
      <w:hyperlink r:id="rId44">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원문: "The optimization outcome changes depending on the desired tradeoffs between carbon footprint and efficiency"</w:t>
      </w:r>
    </w:p>
    <w:p w:rsidR="00000000" w:rsidDel="00000000" w:rsidP="00000000" w:rsidRDefault="00000000" w:rsidRPr="00000000" w14:paraId="0000010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2">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제안하는 방법</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개요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CAST는 예측, 공간 이동, 시간 이동의 세 단계로 구성된다. 예측 단계는 리전별로 향후 24시간의 탄소집약도를 산출한다. 공간 이동 단계는 매 1시간 슬롯마다 그 슬롯에 제출된 작업의 실행 리전을 결정한다. 시간 이동 단계는 배정된 리전 안에서 각 작업의 실행 시각을 마감 이내로 결정한다. 세 단계는 세 가지 데이터만 주고받는다. 예측 단계는 리전별 24개 값의 배열을 넘기고, 공간 이동 단계는 작업별 실행 리전을 넘기며, 시간 이동 단계는 작업별 실행 시각과 배출량을 산출한다. 각 단계는 다른 단계의 내부 구현을 알지 못한다.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CASTF0"/>
                    <a:stretch>
                      <a:fillRect/>
                    </a:stretch>
                  </pic:blipFill>
                  <pic:spPr>
                    <a:xfrm>
                      <a:off x="0" y="0"/>
                      <a:ext cx="2651760" cy="1012404"/>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1. CAST 시스템 구성. 예측, 공간 이동, 시간 이동의 세 단계로 구성되며 각 단계는 정해진 데이터만 주고받는다.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그림 1은 세 단계의 연결과 각 단계가 주고받는 데이터를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설계 원칙은 세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첫째, 공간 이동을 먼저 적용하고 시간 이동을 보완적으로 적용한다. 시간 이동을 단독 수단으로 두지 않는 이유는 다수 리전에서 일간 변동성이 작기 때문이다. 선행 연구는 전 세계 70% 이상의 리전이 일간 변동성이 낮으며, 24시간 여유를 가정한 시간 이동 단독의 전 지구 평균 절감이 8.4%에 그친다고 보고하였다. https://doi.org/10.1145/3627703.3650079 — 원문: "more than 70% of regions worldwide have low daily carbon-intensity variations due to their reliance on fossil fuel-based, hydro, or nuclear power generation." — 원문: "the carbon reductions vary from 31 g·CO2eq to 127 g·CO2eq, 8.4% and 34% relative to the average global emissions"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둘째, 탄소와 지연 사이의 가중치를 고정 상수로 두지 않는다. 리전 간 탄소집약도 격차는 시각에 따라 변하므로, 옮겨서 얻는 이득이 큰 시간과 그렇지 않은 시간에 동일한 가중치를 적용하는 것은 최적이라 보기 어렵다.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셋째, 배치 결정은 예측값으로 수행하고 배출량 산정은 실측값으로 수행한다. 예측값으로 결정하고 예측값으로 채점하면 예측 오차의 대가가 결과에서 사라진다.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표기와 형식화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작업 집합을 J, 리전 집합을 R, 슬롯 집합을 T로 둔다. 슬롯 길이는 1시간이며, 탄소집약도 데이터의 시간 해상도와 일치시킨 값이다. (근거 필요 — Electricity Maps가 1시간 해상도로 제공한다는 공식 문서 URL을 붙일 것) 작업 j는 출발 리전 o_j, 제출 시각 s_j, 실행 시간 d_j, 지연 등급 k_j, 지연 예산 L_j를 갖는다. 작업의 마감은 D_j = s_j + L_j + d_j로 정의한다. 리전 r의 시각 t 실측 탄소집약도를 C_r(t), 그 예측값을 Ĉ_r(t)로 표기한다. 리전 o에서 r로의 왕복 네트워크 지연을 l_or, 리전 r의 처리 용량을 cap_r, 여유율을 η로 둔다. 결정 변수는 배정 변수 x_jr ∈ {0,1}과 실행 시작 시각 τ_j 두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목적함수는 총 배출량이다.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Σ_(j∈J)  P · ∫_(τ_j)^(τ_j+d_j)  C_r(j)(t) dt          … (1)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r(j)는 x_jr = 1인 리전이고 P는 작업의 소비 전력이다. 제약은 네 가지다.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Σ_(r∈R) x_jr = 1,   ∀j ∈ J          … (2)</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 { j : r(j) = r,  τ_j ≤ t &lt; τ_j + d_j } | ≤ ⌊η · cap_r⌋,   ∀r ∈ R, ∀t          … (3)</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s_j ≤ τ_j,   τ_j + d_j ≤ D_j,   ∀j ∈ J          … (4)</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(τ_j − s_j) + l_(o_j r(j)) ≤ L_j,   ∀j ∈ J          … (5)</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수치상으로도 구속되지 않는다. 네트워크 지연 행렬의 최댓값은 244ms이고 가장 급한 등급인 k=5의 지연 예산은 최소 1초이므로, 어떤 작업에서도 네트워크 지연이 지연 예산을 잠식하지 않는다. 나아가 지연 예산이 슬롯 길이인 1시간보다 짧은 등급은 시간 이동의 대상이 되지 않으므로, 이들에게는 네트워크 지연만이 유일한 지연 요인이 된다. 시간 이동이 적용되는 k=1과 k=2의 지연 예산은 2시간 이상이므로 244ms는 무시할 수준이다.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(3)이 본 연구의 형식화가 선행 연구와 갈라지는 지점이다. 두 축을 결합한 상한 분석을 수행한 선행 연구는 용량 제약을 공간 이동 단독 분석에서만 도입하고 두 축을 결합한 분석에서는 도입하지 않았다. https://doi.org/10.1145/3627703.3650079 — 원문: "Since the scenario where all datacenter regions possess an unbounded capacity is not feasible, we also aim to assess the potential reductions under a constrained setting by considering capacity constraints."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(1)~(5)를 단일 정수 계획 문제로 푸는 것은 두 가지 이유로 채택하지 않았다. 첫째, 규모다. 작업 14만 6천 건에 리전 8개와 슬롯 24개를 곱하면 이진 변수가 2,800만 개를 넘는다. (근거 필요 — 슬롯을 24개로 잡을지 연간 8,760개로 잡을지에 따라 수치가 달라짐. 재검토할 것) 둘째, 온라인성이다. 작업은 미리 주어지지 않고 시간에 따라 도착하며, 배정 시점에 이후 도착할 작업을 알 수 없다. 따라서 CAST는 문제를 두 단계로 분해한다. 공간 이동 단계는 슬롯 단위로 그 슬롯의 작업만을 대상으로 식 (2)(3)을 만족하는 배정을 구하고, 시간 이동 단계는 배정된 리전을 고정한 채 실행 시각을 구한다. 이 분해는 전역 최적을 보장하지 않는다. 대신 각 단계가 도착 시점에 결정 가능한 정보만으로 결정을 내린다.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탄소집약도 예측</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모듈은 리전마다 독립된 LSTM 모델을 둔다. 입력은 과거 168시간, 즉 1주일의 시퀀스다. 168시간을 택한 이유는 대상 신호가 24시간 주기와 함께 주간 주기를 갖기 때문이다. 선행 연구는 하이퍼스케일 데이터센터가 위치한 40개 리전 중 35개가 24시간 주기를 주기성 점수 0.5 이상으로 나타냈고 상당수가 주간 주기도 함께 보였다고 보고하였다. https://doi.org/10.1145/3627703.3650079 — 원문: "35 of the 40 regions (87%) exhibit a 24-hour period… with a periodicity score of 0.5 or higher"</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입력 피처는 10종이다. 탄소집약도, 무탄소 전원 비중, 재생에너지 비중, 시간 주기성을 나타내는 sin·cos 쌍 3종, 공휴일 플래그로 구성된다. 기상 데이터가 확보된 3개 리전(캘리포니아, 텍사스, 독일)은 풍속과 일사량이 추가되어 12종을 사용하며 (근거 필요 — 기상 데이터 출처 URL), 향후 24시간 기상 예보를 LSTM 은닉 상태와 결합하는 별도 헤드를 둔다. 이 세 리전을 택한 것은 풍력·태양광 비중이 높아 변동성이 큰 계통이기 때문이다. https://doi.org/10.1145/3627703.3650079 — 원문: "grids with higher fractions of intermittent sources, such as wind and solar, exhibit higher variations"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(중요 — 이 세 리전의 기상 입력은 현재 구현에서 실측 날씨를 슬라이싱해 쓰고 있음. 진짜 예보가 아님. 논문에 이대로 쓰면 안 되고, 한계로 명시하거나 예보 API를 붙여야 함)</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학습·검증·평가 구간은 시간순으로 분리한다. 2021년부터 2023년까지를 학습에, 2024년을 검증에, 2025년을 평가에 사용한다. (근거 필요 — 결측 처리 방식. 2025년 1월 1~7일이 1월 8일 프로파일 반복으로 채워져 있음을 밝힐 것) 평가는 롤링 예측 방식으로 수행한다. 즉 평가 구간의 각 시각마다 그 시점까지의 관측만을 입력으로 향후 24시간을 예측하고, 시각을 한 시간씩 전진시키며 이를 반복한다. 미래 관측이 예측에 유입되지 않도록 하기 위함이다.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CAST의 예측 모듈은 발전원별 생산량을 먼저 예측하고 여기에 배출계수를 적용하는 2단 구조를 취하지 않고, 탄소집약도를 직접 예측한다. 발전원별 시간 단위 공개 예보에 의존하지 않기 위해서다. 선행 연구인 DACF는 공개된 발전원별 예보를 활용하는 구조를 지향하였으나, 실제로 그러한 예보가 확보된 리전은 캘리포니아에 한정되었고 나머지 리전은 자체 모델로 대체하였다. 본 연구의 대상에는 한국·일본·인도가 포함되어 있어, 발전원별 공개 데이터의 가용성이 낮은 리전에서도 동작하는 구조가 필요하다. https://doi.org/10.1145/3538637.3538849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공간 이동 — 슬롯 단위 정수 계획 라우팅</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 단계는 매 슬롯마다 다음 다섯 가지를 수행한다. 첫째, 그 슬롯에 제출된 작업을 수집한다. 둘째, 예측 모듈로부터 리전별 탄소집약도 예측값을 받는다. 셋째, 탄소 비용과 지연 비용을 각각 정규화한다. 넷째, 정수 계획 문제를 풀어 배정을 확정한다. 다섯째, 배정된 작업을 실행 시간 동안 해당 리전의 용량에 반영한다.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두 비용은 서로 다른 방식으로 정규화한다. 탄소 비용은 슬롯마다 그 슬롯의 리전별 최댓값으로 나누고, 지연 비용은 전 구간에서 고정된 값인 지연 행렬의 최댓값 244ms로 나눈다.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M̃_r = Ĉ_r / max_(r′) Ĉ_(r′) ,      l̃_(or) = l_(or) / 244          … (6)</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탄소 비용만 슬롯별로 정규화하는 것은 슬롯 간 탄소 격차의 절대적 크기를 가중치 해석에서 분리하기 위함이다. 고정된 분모를 쓰면 전 리전이 함께 깨끗한 슬롯에서 탄소 항이 일률적으로 작아져, 같은 가중치가 슬롯마다 다른 의미를 갖게 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슬롯의 배정 문제는 다음과 같다. 배치에 속한 작업을 j, 리전을 r, 배정 변수를 x_jr, 미배정 변수를 s_j로 둔다.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 Σ_r ( α · M̃_r + (1 − α) · l̃_(o_j r) ) · x_jr  +  P_slack · Σ_j s_j          … (7)</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s.t.   Σ_r x_jr + s_j = 1,  ∀j       Σ_j x_jr ≤ avail_r,  ∀r          … (8)</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avail_r은 여유율을 적용한 용량에서 현재 실행 중인 작업 수를 뺀 값이다. 미배정 변수 s_j는 어떤 리전에도 배정할 수 없는 상황에서 문제가 실행 불가능해지는 것을 막는다. P_slack에는 어떤 배정 비용보다도 큰 값을 주어, 배정이 가능한 한 미배정이 선택되지 않도록 한다. 구현에는 네트워크 지연 상한을 넘는 경로를 차단하는 선택적 제약이 마련되어 있으나 본 실험에서는 비활성이며, 앞서 밝힌 대로 수치상 구속되지 않는다. 문제는 이진 변수만을 가지며 PuLP 인터페이스를 통해 CBC 솔버로 푼다. 배치 크기가 모든 리전의 잔여 용량보다 작으면 용량 제약이 구속되지 않으므로, 작업별로 비용이 최소인 리전을 고르는 것이 곧 최적해가 된다. 이 경우 솔버 호출을 생략한다.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 α는 슬롯마다 파레토 무릎점으로 결정한다. 절차는 다음과 같다. 0부터 1까지 0.1 간격의 후보 11개에 대해 각각 배정 문제를 풀어, 그 배정의 평균 네트워크 지연과 예상 배출량을 계산한다. 이렇게 얻은 11개의 점을 두 축에 대해 각각 0에서 1로 정규화한다. 지연과 배출이 모두 0인 이상점에 유클리드 거리가 가장 가까운 점을 택하고, 그 점에 해당하는 α와 배정을 채택한다.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α* = arg min_(α)  √( λ̃(α)² + μ̃(α)² ) ,   λ̃·μ̃ 는 0–1 정규화한 평균 지연과 예상 배출          … (9)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미배정이 발생하는 후보가 있으면 미배정 수가 최소인 후보들 안에서만 고르고, 거리가 같으면 작은 α를 택한다.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CASTIMG0"/>
                    <a:stretch>
                      <a:fillRect/>
                    </a:stretch>
                  </pic:blipFill>
                  <pic:spPr>
                    <a:xfrm>
                      <a:off x="0" y="0"/>
                      <a:ext cx="2651760" cy="265176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4. 지연과 탄소의 파레토 곡선. 고정 가중치 후보와 무릎점 자동 선택의 위치를 함께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가중치를 고정 상수로 두지 않는 이유는 고정 상수의 실패 방향이 슬롯에 따라 반대이기 때문이다. 리전 간 탄소집약도 격차가 큰 슬롯에서 고정 가중치는 옮길 수 있는 이득을 남긴 채 보수적으로 동작한다. 격차가 작은 슬롯에서는 얻을 탄소가 적은데도 지연을 지불하며 공격적으로 동작한다. 무릎점 선택은 두 축을 정규화한 곡선의 기하만을 사용하므로, 평가자가 정한 별도의 가중치를 요구하지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연구도 가중치를 고정한다. 다만 무엇과 무엇 사이의 가중치인지는 연구마다 다르다. CASPER는 탄소 배출과 리전별 서버 대수 사이의 가중치를 실험 전반에서 0.5로 고정하고, 지연은 목적함수 항이 아니라 별도의 상한 제약으로 처리한다. CICS는 탄소 비용과 피크 전력 인프라 비용의 가중합을 목적함수로 두고, 두 항의 상대적 비중에 따라 최적화 결과가 달라진다고 논한다. https://doi.org/10.1145/3634769.3634812 — 원문: "results would change with other α values. This is primarily due to the fact that CASPER would redirect requests differently due to the trade-off between carbon emissions and the number of servers needed to satisfy latency SLOs." https://arxiv.org/pdf/2106.11750 — 원문: "The optimization outcome changes depending on the desired tradeoffs between carbon footprint and efficiency"</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시간 이동 — 마감 내 슬롯 선택</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 지연 예산이 슬롯 길이인 1시간보다 짧은 작업이 여기에 해당하며, 이들에게는 시간 이동이 적용되지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후보 슬롯 t의 점수는 정규화한 탄소 비용과 지연 비용의 가중합이다.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Ĉ(t) = ( C̄(t) − C_min ) / ( C_max − C_min ) ,    D̂(t) = ( t − t_early ) / ( t_late − t_early )          … (10)</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score(t) = α(k) · Ĉ(t) + ( 1 − α(k) ) · D̂(t) ,    α(k) = (6 − k) / 5          … (11)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C̄(t)는 t부터 실행 시간 동안의 예측 탄소집약도 평균이고, C_min과 C_max는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단계의 가중치를 무릎점으로 결정하지 않는 이유는 결정 단위가 다르기 때문이다. 공간 이동은 슬롯 안의 작업 집합을 한꺼번에 배정하므로 후보 가중치마다 배정 전체의 지연·배출 쌍이 정의되어 곡선을 그릴 수 있다. 시간 이동은 작업 하나의 실행 시각을 정하므로 그러한 곡선이 정의되지 않는다. 대신 작업이 제출 시 신고한 지연 등급이 그 작업의 지연 허용도를 이미 담고 있으므로, 이를 가중치로 직접 사용한다.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이동의 구현은 향후 과제로 남긴다.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문단은 숨기지 말고 여기 두는 게 맞음. 검증 절에서 우리가 직접 측정한 결과를 예고하는 구조)</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지평을 벗어나는 경우는 즉시 실행으로 처리한다. 예측 모듈은 현재 시각으로부터 24시간까지만 값을 제공하므로, 실행 가능 윈도우의 시작이 그 지평을 넘으면 비교할 근거가 없다.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탄소 회계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배치 결정은 예측값으로 수행하고, 배출량 산정은 실측값으로 수행한다. 작업 j의 배출량은 실행 리전의 실측 탄소집약도를 실행 구간에 대해 적분한 값에 소비 전력을 곱한 값이다.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E_j = P · ∫_(τ_j)^(τ_j + d_j)  C_r(j)(t) dt          … (12)</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실측 계열은 1시간 해상도이므로 적분은 실행 구간이 걸치는 각 시간 구간의 겹침 길이에 그 시간의 값을 곱해 합산하는 방식으로 계산한다. 소비 전력은 작업당 1kW 상수로 가정한다. (근거 필요 — 1kW의 출처. 임의 상수라면 그렇게 명시하는 편이 나음) 이 가정은 작업 간 전력 프로파일의 차이를 배출량 비교에서 제거하며, 그 결과 배출량 차이는 전적으로 실행 리전과 실행 시각의 차이에서만 발생한다. 실측 전력 프로파일이 반영되면 절감량의 절대값은 달라질 수 있다. 이 점은 한계에서 다시 다룬다.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가운데 두 축을 결합한 상한 분석은 미래 탄소집약도를 완전히 아는 조건을 가정한다. https://doi.org/10.1145/3627703.3650079 — 원문: "Here, we assume perfect knowledge of the future carbon-intensity and job length." 본 연구는 결정에 예측값을 사용하므로 예측 오차의 대가가 결과에 반영된다.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검증</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실험 설정</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평가는 8개 리전의 2025년 실측 탄소집약도 1년치 위에서 수행한다. 탄소집약도는 Electricity Maps API를 통해 1시간 해상도로 수집하였다. (근거 필요 — 전과정 배출계수 체계임을 밝히는 공식 방법론 URL) 대상 리전은 미국 3개(캘리포니아, 텍사스, 뉴욕), 유럽 2개(프랑스, 독일), 아시아 3개(한국, 일본, 인도)다.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워크로드는 총 146,000건이며 리전당 하루 50건이 제출된다. (근거 필요 — 공개 클러스터 트레이스의 도착률과 대조할 것) 각 작업은 지연 등급 k ∈ {1,…,5}를 신고하고, 등급별 분포는 3 : 2 : 1 : 1 : 3이다. (근거 필요 — 이 비율의 출처. 없으면 임의 설정임을 명시할 것) 등급은 지연 예산으로 사상된다. k=1은 12~24시간, k=2는 2~8시간, k=3은 2~10분, k=4는 15~60초, k=5는 1~5초다. 각 등급 안에서는 로그균등 분포로 표본을 추출한다.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밝혀둘 점이 있다. 슬롯 길이가 1시간이므로 지연 예산이 1시간보다 짧은 k=3, 4, 5는 시간 이동의 대상이 되지 않는다. 이들이 전체의 60.1%인 87,712건이며, 시간 이동이 적용될 수 있는 작업은 k=1과 k=2의 58,288건이다. 시간 이동에 관한 모든 비율은 이 분모를 기준으로 해석해야 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네트워크 지연은 8×8 리전 간 왕복 지연 실측 행렬을 사용하며, 최댓값은 244ms, 비대각 최솟값은 12ms다. (근거 필요 — 지연 행렬의 측정 출처와 시점)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 규율은 다음과 같다. 배치 결정에는 예측값만 사용하고, 배출량 산정에는 실측값만 사용한다. 세 단계를 동일한 회계로 비교한다. 첫째 단계는 홈 리전 즉시 실행, 둘째 단계는 탄소 인지 공간 이동 후 즉시 실행, 셋째 단계는 여기에 시간 이동을 더한 것이다.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CASTIMG1"/>
                    <a:stretch>
                      <a:fillRect/>
                    </a:stretch>
                  </pic:blipFill>
                  <pic:spPr>
                    <a:xfrm>
                      <a:off x="0" y="0"/>
                      <a:ext cx="2651760" cy="1178559"/>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5. 공간 이동 후 리전별 부하 분포. 탄소집약도가 낮은 리전으로 부하가 이동한다.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용량을 고려하지 않은 시간 이동의 결과</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 r의 시각 t에서 동시 실행 중인 작업 수 N(r, t)를 모든 작업의 시작 시각과 종료 시각에서의 누적합으로 산출하였다. 이는 로드밸런서가 리전 용량을 산정할 때 사용하는 정의와 동일하다. 작업의 지속시간이 1초에서 수 시간까지 분포하므로 슬롯 단위 표본으로는 참값을 얻을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 적용한 단계에서는 8개 리전 전부가 여유율 상한인 동시 실행 12건 이하를 유지한다. 이는 워크로드에 따른 우연이 아니라 구조적 결과다. 로드밸런서는 슬롯 시작 시점에 아직 종료하지 않은 작업 수와 해당 슬롯에 새로 배정하는 작업 수의 합을 상한 이하로 제약하며, 실행 중 작업의 반환이 실제 종료 시각보다 이르지 않으므로 슬롯 내 임의 시각의 동시 실행 수가 상한을 넘을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이동을 적용하면 프랑스와 캘리포니아에서 동시 실행 수가 41건에 이르러 상한의 3.4배가 되며, 연중 각각 622시간과 867시간 동안 상한을 초과한다. 나머지 리전의 초과는 미미하고 인도에서는 발생하지 않는다.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1. 리전별 동시 실행 최대치와 상한 초과 시간 (유효 상한 12건, 연간 8,760시간 기준)</w:t>
      </w:r>
    </w:p>
    <w:tbl>
      <w:tblPr>
        <w:tblW w:w="4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47"/>
        <w:gridCol w:w="1039"/>
        <w:gridCol w:w="1039"/>
        <w:gridCol w:w="935"/>
      </w:tblGrid>
      <w:tr>
        <w:tc>
          <w:tcPr>
            <w:tcW w:w="124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공간 이동 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 후</w:t>
            </w:r>
          </w:p>
        </w:tc>
        <w:tc>
          <w:tcPr>
            <w:tcW w:w="935"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초과 시간</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866.9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622.4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US-NY-NYIS</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31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KR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19</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DE</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US-TEX-ERCO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JP</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IN</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0 h</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초과가 집중되는 두 리전의 성격은 상반된다. 캘리포니아는 상한을 초과한 슬롯의 77.7%가 19시부터 21시까지 세 시간에 몰린다. 균등 분포라면 12.5%다. 반면 프랑스는 상위 세 시간대의 비중이 30.2%로 분산되어 있다. 탄소집약도의 사분위 범위는 캘리포니아가 86에서 208 gCO₂/kWh, 프랑스가 5에서 18 gCO₂/kWh다. 즉 캘리포니아의 초과는 태양광 유입으로 생기는 좁은 저탄소 시간대로의 집중이고, 프랑스의 초과는 리전 전체가 항상 낮아 물량이 몰리는 것이다. 두 리전에서 지연민감도 등급 k=1의 비중은 각각 34.6%와 33.1%로 거의 같다. 즉 지연 여유가 큰 등급이 초과의 공통 원인이나, 그 위에 나타나는 집중의 형태는 리전의 탄소집약도 특성에 따라 달라진다.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연구는 이 현상을 단일 클러스터 맥락에서 지적하였으나 정량화하지는 않았다. https://arxiv.org/abs/2505.18357 — 원문: "Considering a capacity limit is important to avoid a 'thundering herd' problem where all jobs defer their execution to the same low-carbon time and potentially exceed the cluster's capacity." 해당 서술이 근거로 인용하는 문헌은 운영체제 커널의 프로세스 동기화를 다룬 1990년 연구로, 탄소 인지 스케줄링 맥락의 측정이 아니다. 같은 연구는 클러스터 용량 한도를 세 수준으로 변화시켜 실험하나 그 대상은 단일 클러스터이며 리전 간 공간 이동을 다루지 않는다. https://arxiv.org/abs/2505.18357 — 원문: "the maximum allowed cluster capacity limit, denoted as M, where M = 100, 150, and 200, which represents ~75%, ~50%, and ~37% utilization, respectively."</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사후 용량 강제</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단계에 용량 제약을 온라인으로 반영하는 것은 본 연구에서 구현하지 않았다. 대신 배치가 결정된 뒤에 상한을 초과한 작업을 되돌려 그 영향을 산정하였다.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되돌리는 규칙은 다음과 같다. 동시 실행 수가 상한을 초과하는 구간에 걸쳐 있는 작업을 시간 이동 이전의 시각, 즉 즉시 실행으로 되돌린다. 되돌린 작업이 원래 시각에서 새로운 초과를 만들 수 있으므로 초과가 사라질 때까지 반복한다. 프랑스는 5회, 캘리포니아는 3회 반복한 뒤 8개 리전 전부가 상한 이하로 수렴하였다.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규칙은 배치 시점에 용량을 아는 스케줄러보다 항상 같거나 나쁜 결과를 낸다. 배치 시점에 용량을 아는 스케줄러는 이미 찬 슬롯을 피해 차선의 슬롯을 선택할 수 있으나, 사후 복구는 이미 집중이 일어난 뒤에 초과분을 밀어내므로 선택지가 더 적다. 따라서 아래 값은 용량 인지 스케줄러가 달성할 절감량의 하한이다.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2. 사후 용량 강제 전후 비교</w:t>
      </w:r>
    </w:p>
    <w:tbl>
      <w:tblPr>
        <w:tblW w:w="4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89"/>
        <w:gridCol w:w="972"/>
        <w:gridCol w:w="1111"/>
        <w:gridCol w:w="787"/>
      </w:tblGrid>
      <w:tr>
        <w:tc>
          <w:tcPr>
            <w:tcW w:w="138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구분</w:t>
            </w:r>
          </w:p>
        </w:tc>
        <w:tc>
          <w:tcPr>
            <w:tcW w:w="972"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배출량</w:t>
            </w:r>
          </w:p>
        </w:tc>
        <w:tc>
          <w:tcPr>
            <w:tcW w:w="111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이동의 한계 기여</w:t>
            </w:r>
          </w:p>
        </w:tc>
        <w:tc>
          <w:tcPr>
            <w:tcW w:w="78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절감률</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공간 이동만</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12,609.8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−56.85%</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(용량 미강제)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9,958.2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−21.03%p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−65.93%</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(사후 용량 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11,873.0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−5.84%p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−59.37%</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되돌린 작업은 31,250건이다. 이 값의 의미는 분모를 무엇으로 두느냐에 따라 달라진다. 전체 146,000건 대비로는 21.4%이나, 시간 이동의 대상이 될 수 있는 작업은 지연 예산이 슬롯 길이인 1시간보다 긴 등급, 즉 k=1과 k=2의 58,288건뿐이다. 이를 분모로 하면 53.6%가 되어 시간 이동된 작업의 절반 이상이 용량 때문에 되돌려진 셈이다. 후자가 실질을 나타낸다. (실제로 시간 이동이 적용된 작업 수를 분모로 한 정확한 비율은 coder 확정 대기)</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손실은 리전에 고르게 분포하지 않는다. 손실의 94.3%가 캘리포니아 한 리전에서 발생한다. 되돌린 작업 한 건당 평균 손실은 캘리포니아가 109.74 g, 프랑스가 4.10 g으로 26.8배 차이난다. 프랑스에서 되돌린 작업은 13,258건으로 적지 않으나 그로 인한 손실은 54.3 kg에 그친다. 프랑스의 시간 이동은 애초에 절감을 거의 만들지 않았다는 뜻이다. 탄소집약도가 종일 평탄한 리전에서는 실행 시각을 옮겨도 얻을 것이 없기 때문이다.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3. 사후 용량 강제의 리전별 분해</w:t>
      </w:r>
    </w:p>
    <w:tbl>
      <w:tblPr>
        <w:tblW w:w="42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91"/>
        <w:gridCol w:w="870"/>
        <w:gridCol w:w="549"/>
        <w:gridCol w:w="824"/>
        <w:gridCol w:w="824"/>
      </w:tblGrid>
      <w:tr>
        <w:tc>
          <w:tcPr>
            <w:tcW w:w="119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87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되돌린 작업</w:t>
            </w:r>
          </w:p>
        </w:tc>
        <w:tc>
          <w:tcPr>
            <w:tcW w:w="54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반복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손실 편익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건당 평균 손실</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16,449</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1,805.1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109.74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13,258</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54.3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4.10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나머지 6개 리전</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1,543</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55.4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분해는 선행 연구의 관찰과 맞닿는다. Sukprasert 등은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만든 절감 2,651.6 kg 가운데 캘리포니아 한 리전이 1,905.4 kg, 즉 71.9%를 차지한다. 나머지 7개 리전의 합이 28.1%에 그친다. 그리고 용량 초과가 가장 심한 리전도 캘리포니아다. 즉 시간 이동이 값어치를 만드는 리전과 용량 제약이 그 값어치를 가로막는 리전이 일치한다. 이는 두 축을 결합할 때 용량 제약을 두지 않으면 시간 이동의 이득이 체계적으로 과대평가됨을 뜻한다.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리전별 시간 이동 절감 기여는 캘리포니아 71.9%, 일본 8.8%, 한국 8.2%, 독일 4.2%, 프랑스 2.3%, 텍사스 1.7%, 인도 1.7%, 뉴욕 1.3%다. 프랑스는 배정 물량이 54,178건으로 8개 리전 중 가장 많으나 시간 이동 절감 기여는 2.3%에 그친다.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스스로도 자신의 시간 이동 결과가 어떤 조건에 의존하는지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연구가 측정한 것은 이 가운데 자원 제약의 부재라는 조건이 성립하지 않을 때 결과가 얼마나 달라지는가이다.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4">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결론</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논문은 탄소 인지 스케줄링 시스템 CAST를 제안하고,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이동만으로 총 배출량이 56.85% 감소하였고, 여기에 시간 이동을 더하면 65.93%까지 감소한다. 작업 146,000건 전량이 마감 이내에 처리되어 마감 위반은 발생하지 않았다.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21.03%p에서 5.84%p로 줄어든다. 사후 강제는 배치 시점에 용량을 아는 스케줄러보다 항상 같거나 나쁜 결과를 내므로, 이 값은 하한이다. 실현 가능한 절감은 59.37%와 65.93% 사이에 있다.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연구의 주된 발견은 총계가 아니라 그 분포에 있다. 시간 이동이 만든 절감의 71.9%가 캘리포니아 한 리전에서 발생하며, 용량 초과가 가장 심한 리전도 캘리포니아다. 캘리포니아에서 상한을 초과한 슬롯의 77.7%는 19시부터 21시까지 세 시간에 몰린다. 반면 탄소집약도가 종일 평탄한 프랑스는 배정 물량이 가장 많음에도 시간 이동 절감 기여가 2.3%에 그치고, 되돌려도 잃는 것이 거의 없다. 즉 시간 이동이 값어치를 만드는 리전과 용량 제약이 그 값어치를 가로막는 리전이 일치한다. 선행 연구가 시간 이동이 실질적으로 기여하는 예외로 이름을 붙인 리전이 바로 캘리포니아였다는 점에서, 본 연구는 그 예외가 발생하는 메커니즘과 그것이 용량에 의해 어떻게 제약되는지를 실측한 것이 된다. https://doi.org/10.1145/3627703.3650079 — 원문: "there are some exceptions where regions have low spatial gains and high temporal gains and yet result in relatively high net carbon reductions, such as California (US-CA) and Virginia (US-VA)"</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한계는 네 가지다. 첫째, 시간 이동 단계에 용량 제약을 온라인으로 반영하는 구현은 수행하지 않았다. 본 논문은 용량을 무시했을 때와 사후에 강제했을 때의 결과를 모두 보고하는 데 그친다. 둘째, 리전 용량을 8개 리전에 균일하게 부여하였고 탄력적 확장을 모델링하지 않았다. 따라서 본 연구의 결과는 선행 연구의 결론이 틀렸음을 보인 것이 아니라, 그 결론이 용량 가정에 얼마나 민감한지를 보인 것이다. 셋째, 소비 전력을 작업당 1kW 상수로 가정하였다. 넷째, 대상은 8개 리전 1년치이며 시뮬레이션이다.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향후 과제는 셋이다. 첫째, 용량을 인지하는 온라인 시간 이동의 설계와 구현이다. 슬롯별 리전 점유량을 추적하여 상한에 도달한 슬롯을 후보에서 배제하되, 슬롯 경합 시 잔여 여유가 적은 작업을 우선하는 방식을 검토할 수 있다. 둘째, 리전별로 이질적인 용량과 탄력적 확장의 도입이다. 본 연구는 8개 리전에 동일한 용량을 부여하였는데, 이 설정에서는 용량을 조일 때 부하가 고변동 리전으로 밀려나는 효과와 그 리전 안에서 실행 시각을 옮길 여지가 줄어드는 효과가 같은 부호로 동시에 일어난다. 리전별 용량이 이질적이면 두 효과가 분리될 수 있으므로, 이질 용량은 단순한 현실성 보강이 아니라 두 축의 상호작용을 규명하는 데 필요한 조건이다. 셋째, 실측 전력 프로파일의 반영이다.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(수치는 M3 용량 스윕 결과 나오면 다시 볼 것. 특히 셋째 문단의 범위 표현)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sectPr>
      <w:footerReference r:id="rId45" w:type="default"/>
      <w:pgSz w:h="16834" w:w="11909" w:orient="portrait"/>
      <w:pgMar w:bottom="1440" w:top="1440" w:left="1440" w:right="1440" w:header="720" w:footer="720"/>
      <w:cols w:num="2" w:space="425" w:equalWidth="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나눔명조"/>
        <w:sz w:val="20"/>
        <w:szCs w:val="20"/>
      </w:rPr>
    </w:rPrDefault>
    <w:pPrDefault>
      <w:pPr>
        <w:spacing w:line="288" w:lineRule="auto" w:after="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 Id="rIdCASTIMG0" Type="http://schemas.openxmlformats.org/officeDocument/2006/relationships/image" Target="media/cast_fig_pareto.png"/><Relationship Id="rIdCASTIMG1" Type="http://schemas.openxmlformats.org/officeDocument/2006/relationships/image" Target="media/cast_fig_region.png"/><Relationship Id="rIdCASTF0" Type="http://schemas.openxmlformats.org/officeDocument/2006/relationships/image" Target="media/cast_fig_system.png"/><Relationship Id="rIdCASTF1" Type="http://schemas.openxmlformats.org/officeDocument/2006/relationships/image" Target="media/cast_fig_daily.png"/><Relationship Id="rIdCASTF2" Type="http://schemas.openxmlformats.org/officeDocument/2006/relationships/image" Target="media/cast_fig_lst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