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정식화와 알고리즘 · 선행 정책 재현 절차</w:t>
      </w:r>
    </w:p>
    <w:p>
      <w:pPr>
        <w:jc w:val="center"/>
      </w:pPr>
      <w:r>
        <w:rPr>
          <w:sz w:val="18"/>
        </w:rPr>
        <w:t>본편: CAST — 리전 용량 제약을 고려한 탄소 인지 시공간 워크로드 스케줄링</w:t>
        <w:br/>
        <w:t>작성 2026-10-08</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S18).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r>
        <w:trPr>
          <w:cantSplit/>
        </w:trPr>
        <w:tc>
          <w:tcPr>
            <w:tcW w:type="dxa" w:w="3173"/>
          </w:tcPr>
          <w:p>
            <w:r/>
            <w:r>
              <w:rPr>
                <w:b w:val="0"/>
                <w:sz w:val="17"/>
              </w:rPr>
              <w:t>α</w:t>
            </w:r>
          </w:p>
        </w:tc>
        <w:tc>
          <w:tcPr>
            <w:tcW w:type="dxa" w:w="3173"/>
          </w:tcPr>
          <w:p>
            <w:r/>
            <w:r>
              <w:rPr>
                <w:b w:val="0"/>
                <w:sz w:val="17"/>
              </w:rPr>
              <w:t>공간 이동의 탄소–지연 가중치 (식 7)</w:t>
            </w:r>
          </w:p>
        </w:tc>
        <w:tc>
          <w:tcPr>
            <w:tcW w:type="dxa" w:w="3173"/>
          </w:tcPr>
          <w:p>
            <w:r/>
            <w:r>
              <w:rPr>
                <w:b w:val="0"/>
                <w:sz w:val="17"/>
              </w:rPr>
              <w:t>슬롯마다 무릎점으로 결정, 평균 0.508</w:t>
            </w:r>
          </w:p>
        </w:tc>
      </w:tr>
      <w:tr>
        <w:trPr>
          <w:cantSplit/>
        </w:trPr>
        <w:tc>
          <w:tcPr>
            <w:tcW w:type="dxa" w:w="3173"/>
          </w:tcPr>
          <w:p>
            <w:r/>
            <w:r>
              <w:rPr>
                <w:b w:val="0"/>
                <w:sz w:val="17"/>
              </w:rPr>
              <w:t>β(k)</w:t>
            </w:r>
          </w:p>
        </w:tc>
        <w:tc>
          <w:tcPr>
            <w:tcW w:type="dxa" w:w="3173"/>
          </w:tcPr>
          <w:p>
            <w:r/>
            <w:r>
              <w:rPr>
                <w:b w:val="0"/>
                <w:sz w:val="17"/>
              </w:rPr>
              <w:t>시간 이동의 탄소–지연 가중치 (식 11)</w:t>
            </w:r>
          </w:p>
        </w:tc>
        <w:tc>
          <w:tcPr>
            <w:tcW w:type="dxa" w:w="3173"/>
          </w:tcPr>
          <w:p>
            <w:r/>
            <w:r>
              <w:rPr>
                <w:b w:val="0"/>
                <w:sz w:val="17"/>
              </w:rPr>
              <w:t>(6−k)/5 — 등급으로 고정</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(Ĉ(t)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β(k)·C̄(t) + (1−β(k))·D̄(t),   β(k) = (6 − k)/5</w:t>
      </w:r>
    </w:p>
    <w:p>
      <w:pPr>
        <w:jc w:val="both"/>
      </w:pPr>
      <w:r>
        <w:rPr>
          <w:i w:val="0"/>
          <w:sz w:val="20"/>
        </w:rPr>
        <w:t>가중합. 가중치 β(k) 는 작업이 신고한 지연 등급의 함수이며 k=1 에서 1.0, k=5 에서 0.2 다. 공간 이동의 α 와 달리 자료로 정하지 않고 등급으로 고정한다.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t′ 는 남은 실행 가능 윈도우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3의 다섯 행과 표 4의 선행 정책이 모두 이 함수를 통과한다. 기준도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3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공간만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용량 무시</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CAST</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CAST는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순진한 하한 대조군의 절차</w:t>
      </w:r>
    </w:p>
    <w:p>
      <w:pPr>
        <w:spacing w:before="120" w:after="40"/>
        <w:jc w:val="center"/>
      </w:pPr>
      <w:r>
        <w:rPr>
          <w:b/>
          <w:sz w:val="17"/>
        </w:rPr>
        <w:t>표 S7. 순진한 하한 대조군의 리전별 분해 (본편 4.3절) — 손실 편익은 kg, 건당 손실은 g</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리전</w:t>
            </w:r>
          </w:p>
        </w:tc>
        <w:tc>
          <w:tcPr>
            <w:tcW w:type="dxa" w:w="1586"/>
          </w:tcPr>
          <w:p>
            <w:r/>
            <w:r>
              <w:rPr>
                <w:b/>
                <w:sz w:val="17"/>
              </w:rPr>
              <w:t>최대 동시</w:t>
            </w:r>
          </w:p>
        </w:tc>
        <w:tc>
          <w:tcPr>
            <w:tcW w:type="dxa" w:w="1586"/>
          </w:tcPr>
          <w:p>
            <w:r/>
            <w:r>
              <w:rPr>
                <w:b/>
                <w:sz w:val="17"/>
              </w:rPr>
              <w:t>초과 시간</w:t>
            </w:r>
          </w:p>
        </w:tc>
        <w:tc>
          <w:tcPr>
            <w:tcW w:type="dxa" w:w="1586"/>
          </w:tcPr>
          <w:p>
            <w:pPr>
              <w:jc w:val="right"/>
            </w:pPr>
            <w:r/>
            <w:r>
              <w:rPr>
                <w:b/>
                <w:sz w:val="17"/>
              </w:rPr>
              <w:t>되돌린 작업</w:t>
            </w:r>
          </w:p>
        </w:tc>
        <w:tc>
          <w:tcPr>
            <w:tcW w:type="dxa" w:w="1586"/>
          </w:tcPr>
          <w:p>
            <w:pPr>
              <w:jc w:val="right"/>
            </w:pPr>
            <w:r/>
            <w:r>
              <w:rPr>
                <w:b/>
                <w:sz w:val="17"/>
              </w:rPr>
              <w:t>손실 편익</w:t>
            </w:r>
          </w:p>
        </w:tc>
        <w:tc>
          <w:tcPr>
            <w:tcW w:type="dxa" w:w="1586"/>
          </w:tcPr>
          <w:p>
            <w:r/>
            <w:r>
              <w:rPr>
                <w:b/>
                <w:sz w:val="17"/>
              </w:rPr>
              <w:t>건당 손실</w:t>
            </w:r>
          </w:p>
        </w:tc>
      </w:tr>
      <w:tr>
        <w:trPr>
          <w:cantSplit/>
        </w:trPr>
        <w:tc>
          <w:tcPr>
            <w:tcW w:type="dxa" w:w="1586"/>
          </w:tcPr>
          <w:p>
            <w:r/>
            <w:r>
              <w:rPr>
                <w:b w:val="0"/>
                <w:sz w:val="17"/>
              </w:rPr>
              <w:t>캘리포니아</w:t>
            </w:r>
          </w:p>
        </w:tc>
        <w:tc>
          <w:tcPr>
            <w:tcW w:type="dxa" w:w="1586"/>
          </w:tcPr>
          <w:p>
            <w:r/>
            <w:r>
              <w:rPr>
                <w:b w:val="0"/>
                <w:sz w:val="17"/>
              </w:rPr>
              <w:t>41</w:t>
            </w:r>
          </w:p>
        </w:tc>
        <w:tc>
          <w:tcPr>
            <w:tcW w:type="dxa" w:w="1586"/>
          </w:tcPr>
          <w:p>
            <w:r/>
            <w:r>
              <w:rPr>
                <w:b w:val="0"/>
                <w:sz w:val="17"/>
              </w:rPr>
              <w:t>866.9</w:t>
            </w:r>
          </w:p>
        </w:tc>
        <w:tc>
          <w:tcPr>
            <w:tcW w:type="dxa" w:w="1586"/>
          </w:tcPr>
          <w:p>
            <w:pPr>
              <w:jc w:val="right"/>
            </w:pPr>
            <w:r/>
            <w:r>
              <w:rPr>
                <w:b w:val="0"/>
                <w:sz w:val="17"/>
              </w:rPr>
              <w:t>16,449</w:t>
            </w:r>
          </w:p>
        </w:tc>
        <w:tc>
          <w:tcPr>
            <w:tcW w:type="dxa" w:w="1586"/>
          </w:tcPr>
          <w:p>
            <w:pPr>
              <w:jc w:val="right"/>
            </w:pPr>
            <w:r/>
            <w:r>
              <w:rPr>
                <w:b w:val="0"/>
                <w:sz w:val="17"/>
              </w:rPr>
              <w:t>1,805.1</w:t>
            </w:r>
          </w:p>
        </w:tc>
        <w:tc>
          <w:tcPr>
            <w:tcW w:type="dxa" w:w="1586"/>
          </w:tcPr>
          <w:p>
            <w:r/>
            <w:r>
              <w:rPr>
                <w:b w:val="0"/>
                <w:sz w:val="17"/>
              </w:rPr>
              <w:t>109.74</w:t>
            </w:r>
          </w:p>
        </w:tc>
      </w:tr>
      <w:tr>
        <w:trPr>
          <w:cantSplit/>
        </w:trPr>
        <w:tc>
          <w:tcPr>
            <w:tcW w:type="dxa" w:w="1586"/>
          </w:tcPr>
          <w:p>
            <w:r/>
            <w:r>
              <w:rPr>
                <w:b w:val="0"/>
                <w:sz w:val="17"/>
              </w:rPr>
              <w:t>프랑스</w:t>
            </w:r>
          </w:p>
        </w:tc>
        <w:tc>
          <w:tcPr>
            <w:tcW w:type="dxa" w:w="1586"/>
          </w:tcPr>
          <w:p>
            <w:r/>
            <w:r>
              <w:rPr>
                <w:b w:val="0"/>
                <w:sz w:val="17"/>
              </w:rPr>
              <w:t>41</w:t>
            </w:r>
          </w:p>
        </w:tc>
        <w:tc>
          <w:tcPr>
            <w:tcW w:type="dxa" w:w="1586"/>
          </w:tcPr>
          <w:p>
            <w:r/>
            <w:r>
              <w:rPr>
                <w:b w:val="0"/>
                <w:sz w:val="17"/>
              </w:rPr>
              <w:t>622.4</w:t>
            </w:r>
          </w:p>
        </w:tc>
        <w:tc>
          <w:tcPr>
            <w:tcW w:type="dxa" w:w="1586"/>
          </w:tcPr>
          <w:p>
            <w:pPr>
              <w:jc w:val="right"/>
            </w:pPr>
            <w:r/>
            <w:r>
              <w:rPr>
                <w:b w:val="0"/>
                <w:sz w:val="17"/>
              </w:rPr>
              <w:t>13,258</w:t>
            </w:r>
          </w:p>
        </w:tc>
        <w:tc>
          <w:tcPr>
            <w:tcW w:type="dxa" w:w="1586"/>
          </w:tcPr>
          <w:p>
            <w:pPr>
              <w:jc w:val="right"/>
            </w:pPr>
            <w:r/>
            <w:r>
              <w:rPr>
                <w:b w:val="0"/>
                <w:sz w:val="17"/>
              </w:rPr>
              <w:t>54.3</w:t>
            </w:r>
          </w:p>
        </w:tc>
        <w:tc>
          <w:tcPr>
            <w:tcW w:type="dxa" w:w="1586"/>
          </w:tcPr>
          <w:p>
            <w:r/>
            <w:r>
              <w:rPr>
                <w:b w:val="0"/>
                <w:sz w:val="17"/>
              </w:rPr>
              <w:t>4.09</w:t>
            </w:r>
          </w:p>
        </w:tc>
      </w:tr>
      <w:tr>
        <w:trPr>
          <w:cantSplit/>
        </w:trPr>
        <w:tc>
          <w:tcPr>
            <w:tcW w:type="dxa" w:w="1586"/>
          </w:tcPr>
          <w:p>
            <w:r/>
            <w:r>
              <w:rPr>
                <w:b w:val="0"/>
                <w:sz w:val="17"/>
              </w:rPr>
              <w:t>나머지 6개 리전</w:t>
            </w:r>
          </w:p>
        </w:tc>
        <w:tc>
          <w:tcPr>
            <w:tcW w:type="dxa" w:w="1586"/>
          </w:tcPr>
          <w:p>
            <w:r/>
            <w:r>
              <w:rPr>
                <w:b w:val="0"/>
                <w:sz w:val="17"/>
              </w:rPr>
              <w:t>6~22</w:t>
            </w:r>
          </w:p>
        </w:tc>
        <w:tc>
          <w:tcPr>
            <w:tcW w:type="dxa" w:w="1586"/>
          </w:tcPr>
          <w:p>
            <w:r/>
            <w:r>
              <w:rPr>
                <w:b w:val="0"/>
                <w:sz w:val="17"/>
              </w:rPr>
              <w:t>29.2 이하</w:t>
            </w:r>
          </w:p>
        </w:tc>
        <w:tc>
          <w:tcPr>
            <w:tcW w:type="dxa" w:w="1586"/>
          </w:tcPr>
          <w:p>
            <w:pPr>
              <w:jc w:val="right"/>
            </w:pPr>
            <w:r/>
            <w:r>
              <w:rPr>
                <w:b w:val="0"/>
                <w:sz w:val="17"/>
              </w:rPr>
              <w:t>1,543</w:t>
            </w:r>
          </w:p>
        </w:tc>
        <w:tc>
          <w:tcPr>
            <w:tcW w:type="dxa" w:w="1586"/>
          </w:tcPr>
          <w:p>
            <w:pPr>
              <w:jc w:val="right"/>
            </w:pPr>
            <w:r/>
            <w:r>
              <w:rPr>
                <w:b w:val="0"/>
                <w:sz w:val="17"/>
              </w:rPr>
              <w:t>55.4</w:t>
            </w:r>
          </w:p>
        </w:tc>
        <w:tc>
          <w:tcPr>
            <w:tcW w:type="dxa" w:w="1586"/>
          </w:tcPr>
          <w:p>
            <w:r/>
            <w:r>
              <w:rPr>
                <w:b w:val="0"/>
                <w:sz w:val="17"/>
              </w:rPr>
              <w:t>—</w:t>
            </w:r>
          </w:p>
        </w:tc>
      </w:tr>
    </w:tbl>
    <w:p/>
    <w:p>
      <w:pPr>
        <w:jc w:val="both"/>
      </w:pPr>
      <w:r>
        <w:rPr>
          <w:i w:val="0"/>
          <w:sz w:val="20"/>
        </w:rPr>
        <w:t>본편 4.3절의 대조군(순진한 하한)은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3의 기준은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S8.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S9.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S10.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S11.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S12.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S13.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S14.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S15.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기준도 분포마다 다시 계산했다.</w:t>
      </w:r>
    </w:p>
    <w:p>
      <w:pPr>
        <w:spacing w:before="120" w:after="40"/>
        <w:jc w:val="center"/>
      </w:pPr>
      <w:r>
        <w:rPr>
          <w:b/>
          <w:sz w:val="17"/>
        </w:rPr>
        <w:t>표 S16.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(kg)</w:t>
            </w:r>
          </w:p>
        </w:tc>
        <w:tc>
          <w:tcPr>
            <w:tcW w:type="dxa" w:w="1058"/>
          </w:tcPr>
          <w:p>
            <w:pPr>
              <w:jc w:val="right"/>
            </w:pPr>
            <w:r/>
            <w:r>
              <w:rPr>
                <w:b/>
                <w:sz w:val="17"/>
              </w:rPr>
              <w:t>CAST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 정수 계획은 CBC 를 스레드 지정 없이 (곧 단일 스레드로) 호출하고 난수 시드를 주입하지 않으므로 같은 입력에서 같은 해를 낸다 — 연속 4주(672슬롯, 11,200건)를 서로 독립된 두 프로세스로 풀어 총배출이 소수점 여섯 자리까지 같음을 확인하였다.</w:t>
      </w:r>
    </w:p>
    <w:p>
      <w:pPr>
        <w:pStyle w:val="Heading2"/>
      </w:pPr>
      <w:r>
        <w:rPr>
          <w:rFonts w:ascii="맑은 고딕" w:hAnsi="맑은 고딕"/>
        </w:rPr>
        <w:t>구성</w:t>
      </w:r>
    </w:p>
    <w:p>
      <w:pPr>
        <w:spacing w:before="120" w:after="40"/>
        <w:jc w:val="center"/>
      </w:pPr>
      <w:r>
        <w:rPr>
          <w:b/>
          <w:sz w:val="17"/>
        </w:rPr>
        <w:t>표 S17.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1~3과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S18.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