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선은 작업, 가는 선은 탄소 자료, 점선은 되먹임이다.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Thick lines carry jobs, thin lines carbon data, and the dashed line is feedback.</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39330"/>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 xml:space="preserve">식 (2)는 한 작업을 한 리전에만 배정한다는 뜻이다. 식 (4)는 실행이 제출 이후이고 마감 이내여야 한다는 뜻으로, 마감은 무를 수 없는 하드 제약이다 — 이를 벌점으로 무르게 둔 선행 정책에서는 마감 위반이 나온다(표 4). 식 (5)는 지연 예산을 정한다. 식 (1)~(5)를 하나의 정수 계획으로 묶지 않은 것은 시간 이동을 온라인으로 두기 위해서다 — 묶으면 모든 작업과 1년치 예측을 미리 알아야 풀린다.</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7423"/>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1AF3DC19" w14:textId="77777777">
        <w:trPr>
          <w:cantSplit/>
        </w:trPr>
        <w:tc>
          <w:tcPr>
            <w:tcW w:w="983"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346"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01"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782"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983"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346"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01"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782"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983"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346"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01"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782"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983" w:type="dxa"/>
            <w:vAlign w:val="center"/>
          </w:tcPr>
          <w:p w14:paraId="478B37A8" w14:textId="77777777" w:rsidR="00354F08" w:rsidRDefault="00000000">
            <w:pPr>
              <w:spacing w:line="240" w:lineRule="auto"/>
            </w:pPr>
            <w:r>
              <w:rPr>
                <w:sz w:val="13"/>
                <w:szCs w:val="13"/>
              </w:rPr>
              <w:t>1.0</w:t>
            </w:r>
          </w:p>
        </w:tc>
        <w:tc>
          <w:tcPr>
            <w:tcW w:w="1346" w:type="dxa"/>
            <w:vAlign w:val="center"/>
          </w:tcPr>
          <w:p w14:paraId="42E31401" w14:textId="77777777" w:rsidR="00354F08" w:rsidRDefault="00000000">
            <w:pPr>
              <w:spacing w:line="240" w:lineRule="auto"/>
            </w:pPr>
            <w:r>
              <w:rPr>
                <w:sz w:val="13"/>
                <w:szCs w:val="13"/>
              </w:rPr>
              <w:t xml:space="preserve">France</w:t>
            </w:r>
          </w:p>
        </w:tc>
        <w:tc>
          <w:tcPr>
            <w:tcW w:w="801" w:type="dxa"/>
            <w:vAlign w:val="center"/>
          </w:tcPr>
          <w:p w14:paraId="1C833A64" w14:textId="77777777" w:rsidR="00354F08" w:rsidRDefault="00000000">
            <w:pPr>
              <w:spacing w:line="240" w:lineRule="auto"/>
              <w:jc w:val="right"/>
              <w:rPr>
                <w:sz w:val="13"/>
                <w:szCs w:val="13"/>
              </w:rPr>
            </w:pPr>
            <w:r>
              <w:rPr>
                <w:sz w:val="13"/>
                <w:szCs w:val="13"/>
              </w:rPr>
              <w:t>9</w:t>
            </w:r>
          </w:p>
        </w:tc>
        <w:tc>
          <w:tcPr>
            <w:tcW w:w="782"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4008"/>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4505"/>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8777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33DA85B0" w14:textId="77777777">
        <w:trPr>
          <w:cantSplit/>
        </w:trPr>
        <w:tc>
          <w:tcPr>
            <w:tcW w:w="1547"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819"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773"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773"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547"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819"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773"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773"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547"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819"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773"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773"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547"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819"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773"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773"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547" w:type="dxa"/>
            <w:vAlign w:val="center"/>
          </w:tcPr>
          <w:p w14:paraId="250B9C1E" w14:textId="77777777" w:rsidR="004A6DA0" w:rsidRDefault="00000000">
            <w:pPr>
              <w:spacing w:line="240" w:lineRule="auto"/>
              <w:ind w:firstLine="0"/>
              <w:rPr>
                <w:sz w:val="13"/>
                <w:szCs w:val="13"/>
              </w:rPr>
            </w:pPr>
            <w:r>
              <w:rPr>
                <w:sz w:val="13"/>
                <w:szCs w:val="13"/>
              </w:rPr>
              <w:t>4</w:t>
            </w:r>
          </w:p>
        </w:tc>
        <w:tc>
          <w:tcPr>
            <w:tcW w:w="819"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773"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547" w:type="dxa"/>
            <w:vAlign w:val="center"/>
          </w:tcPr>
          <w:p w14:paraId="2BDE60EA" w14:textId="77777777" w:rsidR="004A6DA0" w:rsidRDefault="00000000">
            <w:pPr>
              <w:spacing w:line="240" w:lineRule="auto"/>
              <w:ind w:firstLine="0"/>
              <w:rPr>
                <w:sz w:val="13"/>
                <w:szCs w:val="13"/>
              </w:rPr>
            </w:pPr>
            <w:r>
              <w:rPr>
                <w:sz w:val="13"/>
                <w:szCs w:val="13"/>
              </w:rPr>
              <w:t>5</w:t>
            </w:r>
          </w:p>
        </w:tc>
        <w:tc>
          <w:tcPr>
            <w:tcW w:w="819"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773"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keepNext/>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039EF255" w14:textId="77777777">
        <w:trPr>
          <w:cantSplit/>
        </w:trPr>
        <w:tc>
          <w:tcPr>
            <w:tcW w:w="1547"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819"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773"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773"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547"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819"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773"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773"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547"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819"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773"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773"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547"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819"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773"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773"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547"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547"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819"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4008"/>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keepNext/>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w:t>
      </w:r>
      <w:proofErr w:type="spellStart"/>
      <w:proofErr w:type="spellEnd"/>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4627"/>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keepNext/>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1474"/>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59450680" w14:textId="77777777">
        <w:trPr>
          <w:cantSplit/>
        </w:trPr>
        <w:tc>
          <w:tcPr>
            <w:tcW w:w="1774"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746"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1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682"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774"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746"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1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682"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774"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746"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1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682"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774"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746"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1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682"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774"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746"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1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682"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774"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746"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1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682"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774"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746"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1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682"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774"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746"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1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682"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774"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746"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1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682"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774"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746"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1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682"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774"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746"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1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682"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 xml:space="preserve">이 결과가 실무에 주는 함의는 세 가지다. 첫째, 탄소 인지 스케줄링의 이득을 보고할 때 용량을 함께 보고하지 않으면 그 숫자는 비교할 수 없다. 본 연구보다 낮은 배출을 낸 선행 정책 셋은 모두 같은 상한으로 다시 세면 49,356건 이상을 초과 배정한다. 본 연구의 227건은 마감을 하드 제약으로 둔 결과이며 전체의 0.16%다.</w:t>
      </w:r>
    </w:p>
    <w:p w14:paraId="32634DA3" w14:textId="77777777" w:rsidR="00CA0C2E" w:rsidRDefault="00000000" w:rsidP="00724B75">
      <w:pPr>
        <w:spacing w:before="0" w:after="0" w:line="247" w:lineRule="exact"/>
      </w:pPr>
      <w:r>
        <w:t xml:space="preserve">둘째, 시간 이동을 도입할지는 리전별 탄소집약도의 평균이 아니라 변동 폭으로 판단해야 한다. 물량이 가장 몰린 프랑스는 종일 평탄해 절감의 2.3%만 냈고, 이득은 변동이 큰 캘리포니아에서 나왔다.</w:t>
      </w:r>
    </w:p>
    <w:p w14:paraId="26A63138" w14:textId="77777777" w:rsidR="00CA0C2E" w:rsidRDefault="00000000" w:rsidP="00724B75">
      <w:pPr>
        <w:spacing w:before="0" w:after="0" w:line="247" w:lineRule="exact"/>
      </w:pPr>
      <w:r>
        <w:t xml:space="preserve">셋째, 예측을 더 잘하는 것보다 용량을 다루는 것이 더 큰 문제다. 예측 오차의 비용은 실제 예측(63.03%)과 완전예지 오라클(63.64%)의 차이인 0.61%포인트인 반면 용량의 비용은 2.90%포인트로 네 배가 넘는다. 오라클 예측을 넣으면 위반이 227건에서 873건으로 늘어난다 — 예측이 정확할수록 작업이 같은 저탄소 구간에 모이고 그 수렴이 초과를 만든다. 다만 이 배율은 워크로드에 매인다. 등급 분포를 여섯 가지로 바꿔 전 과정을 다시 돌리니 0.23배에서 6.14배까지 벌어졌고, 유연한 작업이 약 27% 아래로 내려가면 순서가 뒤집힌다(본 연구는 39.92%).</w:t>
      </w:r>
    </w:p>
    <w:p w14:paraId="50BB045D" w14:textId="77777777" w:rsidR="00CA0C2E" w:rsidRDefault="00000000" w:rsidP="00724B75">
      <w:pPr>
        <w:spacing w:before="0" w:after="0" w:line="247" w:lineRule="exact"/>
      </w:pPr>
      <w:r>
        <w:t xml:space="preserve">한계는 다섯 가지다. 첫째, 작업 발생과 리전 용량을 모두 균등하다고 두었다 — 기준 배출의 69.7%가 인도(24.3%)·일본(16.3%)·한국(15.6%)·텍사스(13.6%)에서 나오는데 실제 수요와 설비는 균등하지 않으므로 분포를 바꾸면 기준값과 절감 폭이 함께 달라진다. 둘째, 실제 배포가 아닌 시뮬레이션이어서 클러스터 관리 계층과의 연동 비용을 확인하지 못했다. 셋째, 캘리포니아·텍사스·독일의 기상 입력이 예보가 아닌 실측값이어서 이 세 리전의 결과는 낙관적일 수 있다. 넷째, 예측 지평을 24시간까지만 시험했다. 다섯째, 지연 등급 분포는 실측이 아니라 설정값이다.</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keepNext/>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